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FDC" w:rsidRPr="00E32FDC" w:rsidRDefault="00E32FDC" w:rsidP="00E32FDC">
      <w:pPr>
        <w:pStyle w:val="MDPI12title"/>
      </w:pPr>
      <w:r>
        <w:t xml:space="preserve">Supplementary Materials: </w:t>
      </w:r>
      <w:r w:rsidRPr="00E32FDC">
        <w:t>Contact Dermatitis due to Nickel Allergy in Patients Suffering from Non-Celiac Wheat Sensitivity</w:t>
      </w:r>
    </w:p>
    <w:p w:rsidR="00E32FDC" w:rsidRPr="00E32FDC" w:rsidRDefault="00E32FDC" w:rsidP="00E32FDC">
      <w:pPr>
        <w:pStyle w:val="MDPI13authornames"/>
        <w:rPr>
          <w:rFonts w:ascii="Times New Roman" w:hAnsi="Times New Roman"/>
        </w:rPr>
      </w:pPr>
      <w:r>
        <w:t>Alberto D’Alcamo, Pasquale Mansueto, Maurizio Soresi, Rosario Iacobucci, Francesco La Blasca, Girolamo Geraci, Francesca Cavataio, Francesca Fayer, Andrea Arini, Laura Di Stefano</w:t>
      </w:r>
      <w:r w:rsidRPr="00E32FDC">
        <w:t xml:space="preserve">, </w:t>
      </w:r>
      <w:r>
        <w:br/>
        <w:t>Giuseppe Iacono</w:t>
      </w:r>
      <w:r w:rsidRPr="00E32FDC">
        <w:t>, Liana Bosco and Antonio Carroccio</w:t>
      </w:r>
    </w:p>
    <w:p w:rsidR="00CA3A2F" w:rsidRPr="004256BE" w:rsidRDefault="00CA3A2F" w:rsidP="00054021">
      <w:pPr>
        <w:pStyle w:val="MDPI21heading1"/>
      </w:pPr>
      <w:r w:rsidRPr="004256BE">
        <w:t xml:space="preserve">Elimination </w:t>
      </w:r>
      <w:r w:rsidR="00054021" w:rsidRPr="004256BE">
        <w:t xml:space="preserve">Diet </w:t>
      </w:r>
      <w:r w:rsidRPr="004256BE">
        <w:t xml:space="preserve">and </w:t>
      </w:r>
      <w:r w:rsidR="00054021" w:rsidRPr="004256BE">
        <w:t xml:space="preserve">Double-Blind Placebo-Controlled </w:t>
      </w:r>
      <w:r w:rsidRPr="004256BE">
        <w:t xml:space="preserve">(DBPC) </w:t>
      </w:r>
      <w:r w:rsidR="00054021" w:rsidRPr="004256BE">
        <w:t>Challenge</w:t>
      </w:r>
    </w:p>
    <w:p w:rsidR="00CA3A2F" w:rsidRPr="004256BE" w:rsidRDefault="00CA3A2F" w:rsidP="00054021">
      <w:pPr>
        <w:pStyle w:val="MDPI31text"/>
      </w:pPr>
      <w:r w:rsidRPr="004256BE">
        <w:t>On entering the study all patients commenced an identical standard elimination diet, with the exclusion of wheat, cow’s milk, eggs, tomato and chocolate. Patients self-reporting food hypersensitivity were also asked to avoid ingestion and/or contact with the food(s) causing symptoms. Food diaries were maintained by the patients during the elimination diet period to assess dietary intake and adherence to the diet. After four weeks on elimination diet the patients who reported symptom resolution underwent DBPC challenges.</w:t>
      </w:r>
    </w:p>
    <w:p w:rsidR="00CA3A2F" w:rsidRPr="004256BE" w:rsidRDefault="00CA3A2F" w:rsidP="00054021">
      <w:pPr>
        <w:pStyle w:val="MDPI31text"/>
      </w:pPr>
      <w:r w:rsidRPr="004256BE">
        <w:t>The challenges were performed with the reintroduction of a single food at a time. Patients were randomized to receive either the “active food” or the placebo, according to a computer-generated order, determined by an observer not involved in the study. In the case of wheat, the DBPC challenge was performed with packets of flour coded A or B containing wheat flour or rice flour, respectively. Packets A or B were given for 2 consecutive weeks and then after 1 week of washout the patients received the other packets for another 2 weeks (cross-over design). Wheat challenge was performed administering a daily dose of 80</w:t>
      </w:r>
      <w:r w:rsidR="00F83BB4">
        <w:t xml:space="preserve"> </w:t>
      </w:r>
      <w:r w:rsidRPr="004256BE">
        <w:t>g of flour, which was dissolved and cooked by the patients themselves. Wheat packets contained 6.5</w:t>
      </w:r>
      <w:r w:rsidR="00F83BB4">
        <w:t xml:space="preserve"> </w:t>
      </w:r>
      <w:r w:rsidRPr="004256BE">
        <w:t>g of gluten. DBPC for cow’s milk was performed by administering capsules coded as A or B containing milk proteins (casein from bovine milk, lactoalbumin, lactoglobulin</w:t>
      </w:r>
      <w:r w:rsidR="00F83BB4">
        <w:t>—</w:t>
      </w:r>
      <w:r w:rsidRPr="004256BE">
        <w:t>daily dose 6</w:t>
      </w:r>
      <w:r w:rsidR="00F83BB4">
        <w:t xml:space="preserve"> </w:t>
      </w:r>
      <w:r w:rsidRPr="004256BE">
        <w:t>g, equal to about 200</w:t>
      </w:r>
      <w:r w:rsidR="00F83BB4">
        <w:t xml:space="preserve"> </w:t>
      </w:r>
      <w:r w:rsidRPr="004256BE">
        <w:t>m</w:t>
      </w:r>
      <w:r w:rsidR="00F83BB4" w:rsidRPr="004256BE">
        <w:t>L</w:t>
      </w:r>
      <w:r w:rsidRPr="004256BE">
        <w:t xml:space="preserve"> of cow’s milk) or xylose, respectively. A total of </w:t>
      </w:r>
      <w:r w:rsidR="00AB6225">
        <w:t>six</w:t>
      </w:r>
      <w:r w:rsidR="00AB6225" w:rsidRPr="004256BE">
        <w:t xml:space="preserve"> </w:t>
      </w:r>
      <w:r w:rsidRPr="004256BE">
        <w:t>capsules daily were given three times daily, away from meals. During all phases of the study, including the challenge period, the severity of symptoms was recorded: the patients completed a 100</w:t>
      </w:r>
      <w:r w:rsidR="00D227A9">
        <w:t xml:space="preserve"> </w:t>
      </w:r>
      <w:r w:rsidRPr="004256BE">
        <w:t xml:space="preserve">mm visual analog scale with 0 representing no symptoms, which assessed overall symptoms and the specific symptoms they each reported. The challenges were stopped when clinical reactions occurred (increase </w:t>
      </w:r>
      <w:r w:rsidRPr="00536007">
        <w:t xml:space="preserve">in </w:t>
      </w:r>
      <w:r w:rsidR="00536007" w:rsidRPr="00536007">
        <w:rPr>
          <w:color w:val="000000" w:themeColor="text1"/>
        </w:rPr>
        <w:t xml:space="preserve">visual </w:t>
      </w:r>
      <w:r w:rsidR="00536007" w:rsidRPr="00536007">
        <w:rPr>
          <w:color w:val="000000" w:themeColor="text1"/>
        </w:rPr>
        <w:t>anlogue scale</w:t>
      </w:r>
      <w:r w:rsidR="00536007" w:rsidRPr="00536007">
        <w:t xml:space="preserve"> (</w:t>
      </w:r>
      <w:r w:rsidRPr="00536007">
        <w:t>VAS</w:t>
      </w:r>
      <w:r w:rsidR="00536007" w:rsidRPr="00536007">
        <w:t>)</w:t>
      </w:r>
      <w:r w:rsidRPr="00536007">
        <w:t xml:space="preserve"> score</w:t>
      </w:r>
      <w:r w:rsidRPr="004256BE">
        <w:t xml:space="preserve"> &gt;30) for at least two consecutive days (onset of abdominal discomfort or pain, associated with a change in stool frequency and/or stool appearance). The challenges were considered positive if the same symptoms which had been initially present reappeared after their disa</w:t>
      </w:r>
      <w:r w:rsidR="007A23B6">
        <w:t xml:space="preserve">ppearance on </w:t>
      </w:r>
      <w:r w:rsidR="00AB6225">
        <w:t xml:space="preserve">the </w:t>
      </w:r>
      <w:r w:rsidR="007A23B6">
        <w:t xml:space="preserve">elimination diet. </w:t>
      </w:r>
      <w:r w:rsidRPr="004256BE">
        <w:t xml:space="preserve">Patients with a similar clinical reaction during the “placebo period” were not considered affected by </w:t>
      </w:r>
      <w:r w:rsidR="00536007" w:rsidRPr="00536007">
        <w:rPr>
          <w:color w:val="000000" w:themeColor="text1"/>
        </w:rPr>
        <w:t>Non-celiac wheat sensitivity</w:t>
      </w:r>
      <w:r w:rsidR="00536007" w:rsidRPr="00536007">
        <w:t xml:space="preserve"> (</w:t>
      </w:r>
      <w:r w:rsidRPr="00536007">
        <w:t>NCWS</w:t>
      </w:r>
      <w:r w:rsidR="00536007" w:rsidRPr="00536007">
        <w:t>)</w:t>
      </w:r>
      <w:r w:rsidRPr="00536007">
        <w:t xml:space="preserve">, irrespective of their worsening during the period in which they </w:t>
      </w:r>
      <w:r w:rsidR="00AB6225" w:rsidRPr="00536007">
        <w:t xml:space="preserve">consumed </w:t>
      </w:r>
      <w:r w:rsidRPr="00536007">
        <w:t>capsules containing wheat. The</w:t>
      </w:r>
      <w:r w:rsidRPr="004256BE">
        <w:t xml:space="preserve"> codes of the packets and capsules were broken only at the end of the study so the investigators did not know their content during the study period. Challenges for other foods in patients with suspected multiple food hypersensitivity were performed in an open fashion.</w:t>
      </w:r>
    </w:p>
    <w:p w:rsidR="00CA3A2F" w:rsidRPr="004256BE" w:rsidRDefault="00CA3A2F" w:rsidP="00420956">
      <w:pPr>
        <w:pStyle w:val="MDPI21heading1"/>
      </w:pPr>
      <w:r w:rsidRPr="004256BE">
        <w:t xml:space="preserve">Laboratory </w:t>
      </w:r>
      <w:r w:rsidR="00DB40AC" w:rsidRPr="004256BE">
        <w:t xml:space="preserve">Methods </w:t>
      </w:r>
      <w:r w:rsidRPr="004256BE">
        <w:t xml:space="preserve">and </w:t>
      </w:r>
      <w:r w:rsidR="00DB40AC" w:rsidRPr="004256BE">
        <w:t xml:space="preserve">Criteria </w:t>
      </w:r>
      <w:r w:rsidRPr="004256BE">
        <w:t xml:space="preserve">for </w:t>
      </w:r>
      <w:r w:rsidR="00AB6225">
        <w:t>Celiac Disease (</w:t>
      </w:r>
      <w:r w:rsidRPr="004256BE">
        <w:t>CD</w:t>
      </w:r>
      <w:r w:rsidR="00AB6225">
        <w:t>)</w:t>
      </w:r>
      <w:r w:rsidRPr="004256BE">
        <w:t xml:space="preserve"> </w:t>
      </w:r>
      <w:r w:rsidR="00DB40AC" w:rsidRPr="004256BE">
        <w:t>Diagnosis</w:t>
      </w:r>
    </w:p>
    <w:p w:rsidR="00CA3A2F" w:rsidRPr="004256BE" w:rsidRDefault="00CA3A2F" w:rsidP="00420956">
      <w:pPr>
        <w:pStyle w:val="MDPI31text"/>
      </w:pPr>
      <w:r w:rsidRPr="004256BE">
        <w:t>On entering the study all patients underwent serum anti-</w:t>
      </w:r>
      <w:r w:rsidR="00AB6225">
        <w:t>tissue transglutaminase (anti-</w:t>
      </w:r>
      <w:r w:rsidRPr="004256BE">
        <w:t>tTG</w:t>
      </w:r>
      <w:r w:rsidR="00AB6225">
        <w:t>)</w:t>
      </w:r>
      <w:r w:rsidRPr="004256BE">
        <w:t xml:space="preserve"> </w:t>
      </w:r>
      <w:r w:rsidR="00AB6225">
        <w:t>immunoglobulin A (</w:t>
      </w:r>
      <w:r w:rsidRPr="004256BE">
        <w:t>IgA</w:t>
      </w:r>
      <w:r w:rsidR="00AB6225">
        <w:t>)</w:t>
      </w:r>
      <w:r w:rsidRPr="004256BE">
        <w:t xml:space="preserve"> and </w:t>
      </w:r>
      <w:r w:rsidRPr="00AB6225">
        <w:rPr>
          <w:szCs w:val="20"/>
        </w:rPr>
        <w:t xml:space="preserve">IgG, </w:t>
      </w:r>
      <w:r w:rsidR="00AB6225" w:rsidRPr="00F63315">
        <w:rPr>
          <w:szCs w:val="20"/>
        </w:rPr>
        <w:t>anti-endomysium antibodies</w:t>
      </w:r>
      <w:r w:rsidR="00AB6225" w:rsidRPr="00AB6225">
        <w:rPr>
          <w:szCs w:val="20"/>
        </w:rPr>
        <w:t xml:space="preserve"> (</w:t>
      </w:r>
      <w:r w:rsidRPr="00AB6225">
        <w:rPr>
          <w:szCs w:val="20"/>
        </w:rPr>
        <w:t>EmA</w:t>
      </w:r>
      <w:r w:rsidR="00AB6225">
        <w:t>)</w:t>
      </w:r>
      <w:r w:rsidRPr="004256BE">
        <w:t xml:space="preserve"> IgA, and anti-gliadin (AGA) IgA and IgG assays, </w:t>
      </w:r>
      <w:r w:rsidRPr="00536007">
        <w:t xml:space="preserve">performed using commercial kits (Eu-tTG IgA, anti-endomysium, and anti-gliadin IgA and IgG, Eurospital Pharma; Trieste, Italy). Patients were also typed for </w:t>
      </w:r>
      <w:bookmarkStart w:id="0" w:name="_GoBack"/>
      <w:r w:rsidR="00536007" w:rsidRPr="00536007">
        <w:rPr>
          <w:rStyle w:val="st"/>
          <w:color w:val="000000" w:themeColor="text1"/>
        </w:rPr>
        <w:t>Human Leucocyte Antigens</w:t>
      </w:r>
      <w:bookmarkEnd w:id="0"/>
      <w:r w:rsidR="00536007" w:rsidRPr="00536007">
        <w:t xml:space="preserve"> (</w:t>
      </w:r>
      <w:r w:rsidRPr="00536007">
        <w:t>HLA</w:t>
      </w:r>
      <w:r w:rsidR="00536007" w:rsidRPr="00536007">
        <w:t>)</w:t>
      </w:r>
      <w:r w:rsidRPr="00536007">
        <w:t>-DQ phenotypes by polymerase chain reaction using sequence-specific primers, with a rapid method (DQ-CD Typing Plus by BioDiaGene, Palermo, Italy). CD diagnosis was excluded in patients with negative serum antibody assays and not carrying the DQ2/DQ8 haplotypes.</w:t>
      </w:r>
      <w:r w:rsidRPr="004256BE">
        <w:t xml:space="preserve"> </w:t>
      </w:r>
    </w:p>
    <w:p w:rsidR="00A01504" w:rsidRPr="004256BE" w:rsidRDefault="00DF783F" w:rsidP="00DF783F">
      <w:pPr>
        <w:pStyle w:val="MDPI31text"/>
        <w:rPr>
          <w:rFonts w:eastAsiaTheme="minorEastAsia"/>
          <w:color w:val="auto"/>
          <w:lang w:val="it-IT"/>
        </w:rPr>
      </w:pPr>
      <w:r>
        <w:lastRenderedPageBreak/>
        <w:t xml:space="preserve">Those patients who reported symptom disappearance on </w:t>
      </w:r>
      <w:r w:rsidR="007E3F1A">
        <w:t xml:space="preserve">a </w:t>
      </w:r>
      <w:r>
        <w:t>wheat-free diet and carried the DQ2 and/or the DQ8 haplotypes underwent duodenal biopsies irrespective of the serum CD</w:t>
      </w:r>
      <w:r w:rsidR="007E3F1A">
        <w:t>–</w:t>
      </w:r>
      <w:r>
        <w:t xml:space="preserve">specific antibody results. The biopsies were performed when the patients were on a regular wheat-containing diet. CD diagnosis was excluded in these patients only in the absence of villi atrophy </w:t>
      </w:r>
      <w:r w:rsidRPr="00536007">
        <w:t>and anti-endomysium antibody production in the culture medium of the duodenal mucosa (Anti-endomysium biopsy,</w:t>
      </w:r>
      <w:r w:rsidR="003D4FDB" w:rsidRPr="00536007">
        <w:t xml:space="preserve"> Eurospital Pharma; Trieste, Italy).</w:t>
      </w:r>
    </w:p>
    <w:sectPr w:rsidR="00A01504" w:rsidRPr="004256BE" w:rsidSect="004256BE">
      <w:headerReference w:type="even" r:id="rId8"/>
      <w:headerReference w:type="default" r:id="rId9"/>
      <w:footerReference w:type="default" r:id="rId10"/>
      <w:headerReference w:type="first" r:id="rId11"/>
      <w:type w:val="continuous"/>
      <w:pgSz w:w="11906" w:h="16838" w:code="9"/>
      <w:pgMar w:top="1417" w:right="1531" w:bottom="1077" w:left="1531" w:header="1020" w:footer="850" w:gutter="0"/>
      <w:pgNumType w:start="1"/>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7F2" w:rsidRDefault="008E37F2" w:rsidP="00C1340D">
      <w:r>
        <w:separator/>
      </w:r>
    </w:p>
  </w:endnote>
  <w:endnote w:type="continuationSeparator" w:id="0">
    <w:p w:rsidR="008E37F2" w:rsidRDefault="008E37F2"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 Pro W3">
    <w:charset w:val="00"/>
    <w:family w:val="auto"/>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8F7" w:rsidRPr="00885BB0" w:rsidRDefault="00CF48F7" w:rsidP="00885BB0">
    <w:pPr>
      <w:pStyle w:val="Footer"/>
      <w:spacing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7F2" w:rsidRDefault="008E37F2" w:rsidP="00C1340D">
      <w:r>
        <w:separator/>
      </w:r>
    </w:p>
  </w:footnote>
  <w:footnote w:type="continuationSeparator" w:id="0">
    <w:p w:rsidR="008E37F2" w:rsidRDefault="008E37F2"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8F7" w:rsidRDefault="00CF48F7" w:rsidP="00225F3F">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8F7" w:rsidRPr="00CE70BE" w:rsidRDefault="00CF48F7" w:rsidP="004256BE">
    <w:pPr>
      <w:adjustRightInd w:val="0"/>
      <w:snapToGrid w:val="0"/>
      <w:spacing w:after="240" w:line="240" w:lineRule="auto"/>
      <w:rPr>
        <w:rFonts w:ascii="Palatino Linotype" w:hAnsi="Palatino Linotype"/>
        <w:sz w:val="16"/>
        <w:szCs w:val="16"/>
      </w:rPr>
    </w:pPr>
    <w:r w:rsidRPr="00CE70BE">
      <w:rPr>
        <w:rFonts w:ascii="Palatino Linotype" w:hAnsi="Palatino Linotype"/>
        <w:i/>
        <w:sz w:val="16"/>
        <w:szCs w:val="16"/>
      </w:rPr>
      <w:t>Nutrients</w:t>
    </w:r>
    <w:r w:rsidRPr="00CE70BE">
      <w:rPr>
        <w:rFonts w:ascii="Palatino Linotype" w:hAnsi="Palatino Linotype"/>
        <w:iCs/>
        <w:sz w:val="16"/>
        <w:szCs w:val="16"/>
      </w:rPr>
      <w:t xml:space="preserve"> </w:t>
    </w:r>
    <w:r w:rsidRPr="00CE70BE">
      <w:rPr>
        <w:rFonts w:ascii="Palatino Linotype" w:hAnsi="Palatino Linotype"/>
        <w:b/>
        <w:bCs/>
        <w:iCs/>
        <w:sz w:val="16"/>
        <w:szCs w:val="16"/>
      </w:rPr>
      <w:t>201</w:t>
    </w:r>
    <w:r w:rsidRPr="00CE70BE">
      <w:rPr>
        <w:rFonts w:ascii="Palatino Linotype" w:eastAsia="宋体" w:hAnsi="Palatino Linotype"/>
        <w:b/>
        <w:bCs/>
        <w:iCs/>
        <w:sz w:val="16"/>
        <w:szCs w:val="16"/>
        <w:lang w:eastAsia="zh-CN"/>
      </w:rPr>
      <w:t>7</w:t>
    </w:r>
    <w:r w:rsidRPr="00CE70BE">
      <w:rPr>
        <w:rFonts w:ascii="Palatino Linotype" w:hAnsi="Palatino Linotype"/>
        <w:iCs/>
        <w:sz w:val="16"/>
        <w:szCs w:val="16"/>
      </w:rPr>
      <w:t xml:space="preserve">, </w:t>
    </w:r>
    <w:r w:rsidRPr="00CE70BE">
      <w:rPr>
        <w:rFonts w:ascii="Palatino Linotype" w:eastAsia="宋体" w:hAnsi="Palatino Linotype"/>
        <w:i/>
        <w:iCs/>
        <w:sz w:val="16"/>
        <w:szCs w:val="16"/>
        <w:lang w:eastAsia="zh-CN"/>
      </w:rPr>
      <w:t>9</w:t>
    </w:r>
    <w:r w:rsidRPr="00CE70BE">
      <w:rPr>
        <w:rFonts w:ascii="Palatino Linotype" w:hAnsi="Palatino Linotype"/>
        <w:iCs/>
        <w:sz w:val="16"/>
        <w:szCs w:val="16"/>
      </w:rPr>
      <w:t>,</w:t>
    </w:r>
    <w:r w:rsidRPr="00CE70BE">
      <w:rPr>
        <w:rFonts w:ascii="Palatino Linotype" w:hAnsi="Palatino Linotype"/>
        <w:sz w:val="16"/>
        <w:szCs w:val="16"/>
        <w:lang w:val="fr-CH"/>
      </w:rPr>
      <w:t xml:space="preserve"> x; doi:</w:t>
    </w:r>
    <w:r w:rsidRPr="00CE70BE">
      <w:rPr>
        <w:rFonts w:ascii="Palatino Linotype" w:hAnsi="Palatino Linotype"/>
        <w:sz w:val="16"/>
        <w:szCs w:val="16"/>
      </w:rPr>
      <w:t xml:space="preserve"> </w:t>
    </w:r>
    <w:r w:rsidRPr="00CE70BE">
      <w:rPr>
        <w:rFonts w:ascii="Palatino Linotype" w:hAnsi="Palatino Linotype"/>
        <w:sz w:val="16"/>
        <w:szCs w:val="16"/>
      </w:rPr>
      <w:ptab w:relativeTo="margin" w:alignment="right" w:leader="none"/>
    </w:r>
    <w:r w:rsidRPr="00CE70BE">
      <w:rPr>
        <w:rFonts w:ascii="Palatino Linotype" w:hAnsi="Palatino Linotype"/>
        <w:sz w:val="16"/>
        <w:szCs w:val="16"/>
      </w:rPr>
      <w:t>S</w:t>
    </w:r>
    <w:r w:rsidRPr="00CE70BE">
      <w:rPr>
        <w:rFonts w:ascii="Palatino Linotype" w:hAnsi="Palatino Linotype"/>
        <w:sz w:val="16"/>
        <w:szCs w:val="16"/>
      </w:rPr>
      <w:fldChar w:fldCharType="begin"/>
    </w:r>
    <w:r w:rsidRPr="00CE70BE">
      <w:rPr>
        <w:rFonts w:ascii="Palatino Linotype" w:hAnsi="Palatino Linotype"/>
        <w:sz w:val="16"/>
        <w:szCs w:val="16"/>
      </w:rPr>
      <w:instrText xml:space="preserve"> PAGE  </w:instrText>
    </w:r>
    <w:r w:rsidRPr="00CE70BE">
      <w:rPr>
        <w:rFonts w:ascii="Palatino Linotype" w:hAnsi="Palatino Linotype"/>
        <w:sz w:val="16"/>
        <w:szCs w:val="16"/>
      </w:rPr>
      <w:fldChar w:fldCharType="separate"/>
    </w:r>
    <w:r w:rsidR="00536007">
      <w:rPr>
        <w:rFonts w:ascii="Palatino Linotype" w:hAnsi="Palatino Linotype"/>
        <w:noProof/>
        <w:sz w:val="16"/>
        <w:szCs w:val="16"/>
      </w:rPr>
      <w:t>2</w:t>
    </w:r>
    <w:r w:rsidRPr="00CE70BE">
      <w:rPr>
        <w:rFonts w:ascii="Palatino Linotype" w:hAnsi="Palatino Linotype"/>
        <w:sz w:val="16"/>
        <w:szCs w:val="16"/>
      </w:rPr>
      <w:fldChar w:fldCharType="end"/>
    </w:r>
    <w:r w:rsidRPr="00CE70BE">
      <w:rPr>
        <w:rFonts w:ascii="Palatino Linotype" w:hAnsi="Palatino Linotype"/>
        <w:sz w:val="16"/>
        <w:szCs w:val="16"/>
      </w:rPr>
      <w:t xml:space="preserve"> of S</w:t>
    </w:r>
    <w:r w:rsidRPr="00CE70BE">
      <w:rPr>
        <w:rFonts w:ascii="Palatino Linotype" w:hAnsi="Palatino Linotype"/>
        <w:sz w:val="16"/>
        <w:szCs w:val="16"/>
      </w:rPr>
      <w:fldChar w:fldCharType="begin"/>
    </w:r>
    <w:r w:rsidRPr="00CE70BE">
      <w:rPr>
        <w:rFonts w:ascii="Palatino Linotype" w:hAnsi="Palatino Linotype"/>
        <w:sz w:val="16"/>
        <w:szCs w:val="16"/>
      </w:rPr>
      <w:instrText xml:space="preserve"> NUMPAGES  </w:instrText>
    </w:r>
    <w:r w:rsidRPr="00CE70BE">
      <w:rPr>
        <w:rFonts w:ascii="Palatino Linotype" w:hAnsi="Palatino Linotype"/>
        <w:sz w:val="16"/>
        <w:szCs w:val="16"/>
      </w:rPr>
      <w:fldChar w:fldCharType="separate"/>
    </w:r>
    <w:r w:rsidR="00536007">
      <w:rPr>
        <w:rFonts w:ascii="Palatino Linotype" w:hAnsi="Palatino Linotype"/>
        <w:noProof/>
        <w:sz w:val="16"/>
        <w:szCs w:val="16"/>
      </w:rPr>
      <w:t>2</w:t>
    </w:r>
    <w:r w:rsidRPr="00CE70BE">
      <w:rPr>
        <w:rFonts w:ascii="Palatino Linotype" w:hAnsi="Palatino Linotype"/>
        <w:sz w:val="16"/>
        <w:szCs w:val="1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8F7" w:rsidRPr="00CE70BE" w:rsidRDefault="00CF48F7" w:rsidP="00CE70BE">
    <w:pPr>
      <w:pStyle w:val="Header"/>
      <w:pBdr>
        <w:bottom w:val="none" w:sz="0" w:space="0" w:color="auto"/>
      </w:pBdr>
      <w:adjustRightInd w:val="0"/>
      <w:spacing w:after="240" w:line="240" w:lineRule="auto"/>
      <w:rPr>
        <w:rFonts w:ascii="Palatino Linotype" w:hAnsi="Palatino Linotype"/>
        <w:sz w:val="16"/>
        <w:szCs w:val="16"/>
      </w:rPr>
    </w:pPr>
    <w:r w:rsidRPr="00CE70BE">
      <w:rPr>
        <w:rFonts w:ascii="Palatino Linotype" w:hAnsi="Palatino Linotype"/>
        <w:i/>
        <w:sz w:val="16"/>
        <w:szCs w:val="16"/>
      </w:rPr>
      <w:t>Nutrients</w:t>
    </w:r>
    <w:r w:rsidRPr="00CE70BE">
      <w:rPr>
        <w:rFonts w:ascii="Palatino Linotype" w:hAnsi="Palatino Linotype"/>
        <w:iCs/>
        <w:sz w:val="16"/>
        <w:szCs w:val="16"/>
      </w:rPr>
      <w:t xml:space="preserve"> </w:t>
    </w:r>
    <w:r w:rsidRPr="00CE70BE">
      <w:rPr>
        <w:rFonts w:ascii="Palatino Linotype" w:hAnsi="Palatino Linotype"/>
        <w:b/>
        <w:bCs/>
        <w:iCs/>
        <w:sz w:val="16"/>
        <w:szCs w:val="16"/>
      </w:rPr>
      <w:t>201</w:t>
    </w:r>
    <w:r w:rsidRPr="00CE70BE">
      <w:rPr>
        <w:rFonts w:ascii="Palatino Linotype" w:eastAsia="宋体" w:hAnsi="Palatino Linotype"/>
        <w:b/>
        <w:bCs/>
        <w:iCs/>
        <w:sz w:val="16"/>
        <w:szCs w:val="16"/>
        <w:lang w:eastAsia="zh-CN"/>
      </w:rPr>
      <w:t>7</w:t>
    </w:r>
    <w:r w:rsidRPr="00CE70BE">
      <w:rPr>
        <w:rFonts w:ascii="Palatino Linotype" w:hAnsi="Palatino Linotype"/>
        <w:iCs/>
        <w:sz w:val="16"/>
        <w:szCs w:val="16"/>
      </w:rPr>
      <w:t xml:space="preserve">, </w:t>
    </w:r>
    <w:r w:rsidRPr="00CE70BE">
      <w:rPr>
        <w:rFonts w:ascii="Palatino Linotype" w:eastAsia="宋体" w:hAnsi="Palatino Linotype"/>
        <w:i/>
        <w:iCs/>
        <w:sz w:val="16"/>
        <w:szCs w:val="16"/>
        <w:lang w:eastAsia="zh-CN"/>
      </w:rPr>
      <w:t>9</w:t>
    </w:r>
    <w:r w:rsidRPr="00CE70BE">
      <w:rPr>
        <w:rFonts w:ascii="Palatino Linotype" w:hAnsi="Palatino Linotype"/>
        <w:iCs/>
        <w:sz w:val="16"/>
        <w:szCs w:val="16"/>
      </w:rPr>
      <w:t>,</w:t>
    </w:r>
    <w:r w:rsidRPr="00CE70BE">
      <w:rPr>
        <w:rFonts w:ascii="Palatino Linotype" w:hAnsi="Palatino Linotype"/>
        <w:sz w:val="16"/>
        <w:szCs w:val="16"/>
        <w:lang w:val="fr-CH"/>
      </w:rPr>
      <w:t xml:space="preserve"> x; doi:</w:t>
    </w:r>
    <w:r w:rsidRPr="00CE70BE">
      <w:rPr>
        <w:rFonts w:ascii="Palatino Linotype" w:hAnsi="Palatino Linotype"/>
        <w:sz w:val="16"/>
        <w:szCs w:val="16"/>
      </w:rPr>
      <w:ptab w:relativeTo="margin" w:alignment="right" w:leader="none"/>
    </w:r>
    <w:r w:rsidRPr="00CE70BE">
      <w:rPr>
        <w:rFonts w:ascii="Palatino Linotype" w:hAnsi="Palatino Linotype"/>
        <w:sz w:val="16"/>
        <w:szCs w:val="16"/>
      </w:rPr>
      <w:t>S</w:t>
    </w:r>
    <w:sdt>
      <w:sdtPr>
        <w:rPr>
          <w:rFonts w:ascii="Palatino Linotype" w:hAnsi="Palatino Linotype"/>
          <w:sz w:val="16"/>
          <w:szCs w:val="16"/>
        </w:rPr>
        <w:id w:val="-1532868382"/>
        <w:docPartObj>
          <w:docPartGallery w:val="Page Numbers (Top of Page)"/>
          <w:docPartUnique/>
        </w:docPartObj>
      </w:sdtPr>
      <w:sdtEndPr>
        <w:rPr>
          <w:noProof/>
        </w:rPr>
      </w:sdtEndPr>
      <w:sdtContent>
        <w:r w:rsidR="008E37F2">
          <w:fldChar w:fldCharType="begin"/>
        </w:r>
        <w:r w:rsidR="008E37F2">
          <w:instrText xml:space="preserve"> PAGE   \* MERGEFORMAT </w:instrText>
        </w:r>
        <w:r w:rsidR="008E37F2">
          <w:fldChar w:fldCharType="separate"/>
        </w:r>
        <w:r w:rsidR="00536007" w:rsidRPr="00536007">
          <w:rPr>
            <w:rFonts w:ascii="Palatino Linotype" w:hAnsi="Palatino Linotype"/>
            <w:noProof/>
            <w:sz w:val="16"/>
            <w:szCs w:val="16"/>
          </w:rPr>
          <w:t>1</w:t>
        </w:r>
        <w:r w:rsidR="008E37F2">
          <w:rPr>
            <w:rFonts w:ascii="Palatino Linotype" w:hAnsi="Palatino Linotype"/>
            <w:noProof/>
            <w:sz w:val="16"/>
            <w:szCs w:val="16"/>
          </w:rPr>
          <w:fldChar w:fldCharType="end"/>
        </w:r>
        <w:r w:rsidRPr="00CE70BE">
          <w:rPr>
            <w:rFonts w:ascii="Palatino Linotype" w:hAnsi="Palatino Linotype"/>
            <w:noProof/>
            <w:sz w:val="16"/>
            <w:szCs w:val="16"/>
          </w:rPr>
          <w:t xml:space="preserve"> of S2</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5927E06"/>
    <w:lvl w:ilvl="0">
      <w:start w:val="1"/>
      <w:numFmt w:val="bullet"/>
      <w:lvlText w:val=""/>
      <w:lvlJc w:val="left"/>
      <w:pPr>
        <w:tabs>
          <w:tab w:val="num" w:pos="360"/>
        </w:tabs>
        <w:ind w:left="360" w:hangingChars="200" w:hanging="360"/>
      </w:pPr>
      <w:rPr>
        <w:rFonts w:ascii="Wingdings" w:hAnsi="Wingdings" w:hint="default"/>
      </w:rPr>
    </w:lvl>
  </w:abstractNum>
  <w:abstractNum w:abstractNumId="1">
    <w:nsid w:val="14F82A47"/>
    <w:multiLevelType w:val="hybridMultilevel"/>
    <w:tmpl w:val="2DF4741C"/>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9CF5E91"/>
    <w:multiLevelType w:val="hybridMultilevel"/>
    <w:tmpl w:val="6CE4E924"/>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nsid w:val="327441F7"/>
    <w:multiLevelType w:val="hybridMultilevel"/>
    <w:tmpl w:val="D9D8E514"/>
    <w:lvl w:ilvl="0" w:tplc="B6DA7924">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6">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nsid w:val="396C24B9"/>
    <w:multiLevelType w:val="hybridMultilevel"/>
    <w:tmpl w:val="344A584C"/>
    <w:lvl w:ilvl="0" w:tplc="CECC1D30">
      <w:start w:val="1"/>
      <w:numFmt w:val="bullet"/>
      <w:lvlText w:val=""/>
      <w:lvlJc w:val="left"/>
      <w:pPr>
        <w:ind w:left="708" w:hanging="420"/>
      </w:pPr>
      <w:rPr>
        <w:rFonts w:ascii="Wingdings" w:hAnsi="Wingdings" w:hint="default"/>
      </w:rPr>
    </w:lvl>
    <w:lvl w:ilvl="1" w:tplc="04090003" w:tentative="1">
      <w:start w:val="1"/>
      <w:numFmt w:val="bullet"/>
      <w:lvlText w:val=""/>
      <w:lvlJc w:val="left"/>
      <w:pPr>
        <w:ind w:left="1128" w:hanging="420"/>
      </w:pPr>
      <w:rPr>
        <w:rFonts w:ascii="Wingdings" w:hAnsi="Wingdings" w:hint="default"/>
      </w:rPr>
    </w:lvl>
    <w:lvl w:ilvl="2" w:tplc="04090005" w:tentative="1">
      <w:start w:val="1"/>
      <w:numFmt w:val="bullet"/>
      <w:lvlText w:val=""/>
      <w:lvlJc w:val="left"/>
      <w:pPr>
        <w:ind w:left="1548" w:hanging="420"/>
      </w:pPr>
      <w:rPr>
        <w:rFonts w:ascii="Wingdings" w:hAnsi="Wingdings" w:hint="default"/>
      </w:rPr>
    </w:lvl>
    <w:lvl w:ilvl="3" w:tplc="04090001" w:tentative="1">
      <w:start w:val="1"/>
      <w:numFmt w:val="bullet"/>
      <w:lvlText w:val=""/>
      <w:lvlJc w:val="left"/>
      <w:pPr>
        <w:ind w:left="1968" w:hanging="420"/>
      </w:pPr>
      <w:rPr>
        <w:rFonts w:ascii="Wingdings" w:hAnsi="Wingdings" w:hint="default"/>
      </w:rPr>
    </w:lvl>
    <w:lvl w:ilvl="4" w:tplc="04090003" w:tentative="1">
      <w:start w:val="1"/>
      <w:numFmt w:val="bullet"/>
      <w:lvlText w:val=""/>
      <w:lvlJc w:val="left"/>
      <w:pPr>
        <w:ind w:left="2388" w:hanging="420"/>
      </w:pPr>
      <w:rPr>
        <w:rFonts w:ascii="Wingdings" w:hAnsi="Wingdings" w:hint="default"/>
      </w:rPr>
    </w:lvl>
    <w:lvl w:ilvl="5" w:tplc="04090005" w:tentative="1">
      <w:start w:val="1"/>
      <w:numFmt w:val="bullet"/>
      <w:lvlText w:val=""/>
      <w:lvlJc w:val="left"/>
      <w:pPr>
        <w:ind w:left="2808" w:hanging="420"/>
      </w:pPr>
      <w:rPr>
        <w:rFonts w:ascii="Wingdings" w:hAnsi="Wingdings" w:hint="default"/>
      </w:rPr>
    </w:lvl>
    <w:lvl w:ilvl="6" w:tplc="04090001" w:tentative="1">
      <w:start w:val="1"/>
      <w:numFmt w:val="bullet"/>
      <w:lvlText w:val=""/>
      <w:lvlJc w:val="left"/>
      <w:pPr>
        <w:ind w:left="3228" w:hanging="420"/>
      </w:pPr>
      <w:rPr>
        <w:rFonts w:ascii="Wingdings" w:hAnsi="Wingdings" w:hint="default"/>
      </w:rPr>
    </w:lvl>
    <w:lvl w:ilvl="7" w:tplc="04090003" w:tentative="1">
      <w:start w:val="1"/>
      <w:numFmt w:val="bullet"/>
      <w:lvlText w:val=""/>
      <w:lvlJc w:val="left"/>
      <w:pPr>
        <w:ind w:left="3648" w:hanging="420"/>
      </w:pPr>
      <w:rPr>
        <w:rFonts w:ascii="Wingdings" w:hAnsi="Wingdings" w:hint="default"/>
      </w:rPr>
    </w:lvl>
    <w:lvl w:ilvl="8" w:tplc="04090005" w:tentative="1">
      <w:start w:val="1"/>
      <w:numFmt w:val="bullet"/>
      <w:lvlText w:val=""/>
      <w:lvlJc w:val="left"/>
      <w:pPr>
        <w:ind w:left="4068" w:hanging="420"/>
      </w:pPr>
      <w:rPr>
        <w:rFonts w:ascii="Wingdings" w:hAnsi="Wingdings" w:hint="default"/>
      </w:rPr>
    </w:lvl>
  </w:abstractNum>
  <w:abstractNum w:abstractNumId="8">
    <w:nsid w:val="430B505B"/>
    <w:multiLevelType w:val="hybridMultilevel"/>
    <w:tmpl w:val="0C0A5ADA"/>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D5443C4"/>
    <w:multiLevelType w:val="multilevel"/>
    <w:tmpl w:val="4C90A12C"/>
    <w:lvl w:ilvl="0">
      <w:start w:val="1"/>
      <w:numFmt w:val="decimal"/>
      <w:lvlText w:val="%1"/>
      <w:lvlJc w:val="left"/>
      <w:pPr>
        <w:ind w:left="1429" w:hanging="357"/>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605F5E61"/>
    <w:multiLevelType w:val="hybridMultilevel"/>
    <w:tmpl w:val="E3140CC2"/>
    <w:lvl w:ilvl="0" w:tplc="8E38962A">
      <w:start w:val="1"/>
      <w:numFmt w:val="decimal"/>
      <w:lvlText w:val="  %1"/>
      <w:lvlJc w:val="left"/>
      <w:pPr>
        <w:ind w:left="420" w:hanging="420"/>
      </w:pPr>
      <w:rPr>
        <w:rFonts w:hint="eastAsia"/>
        <w:spacing w:val="0"/>
        <w:position w:val="10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73C370A"/>
    <w:multiLevelType w:val="hybridMultilevel"/>
    <w:tmpl w:val="43F46964"/>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2">
    <w:nsid w:val="6DB20A64"/>
    <w:multiLevelType w:val="hybridMultilevel"/>
    <w:tmpl w:val="7DCA35FA"/>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5"/>
  </w:num>
  <w:num w:numId="2">
    <w:abstractNumId w:val="12"/>
  </w:num>
  <w:num w:numId="3">
    <w:abstractNumId w:val="8"/>
  </w:num>
  <w:num w:numId="4">
    <w:abstractNumId w:val="0"/>
  </w:num>
  <w:num w:numId="5">
    <w:abstractNumId w:val="7"/>
  </w:num>
  <w:num w:numId="6">
    <w:abstractNumId w:val="12"/>
  </w:num>
  <w:num w:numId="7">
    <w:abstractNumId w:val="5"/>
  </w:num>
  <w:num w:numId="8">
    <w:abstractNumId w:val="1"/>
  </w:num>
  <w:num w:numId="9">
    <w:abstractNumId w:val="2"/>
  </w:num>
  <w:num w:numId="10">
    <w:abstractNumId w:val="9"/>
  </w:num>
  <w:num w:numId="11">
    <w:abstractNumId w:val="10"/>
  </w:num>
  <w:num w:numId="12">
    <w:abstractNumId w:val="11"/>
  </w:num>
  <w:num w:numId="13">
    <w:abstractNumId w:val="4"/>
  </w:num>
  <w:num w:numId="14">
    <w:abstractNumId w:val="6"/>
  </w:num>
  <w:num w:numId="15">
    <w:abstractNumId w:val="3"/>
  </w:num>
  <w:num w:numId="16">
    <w:abstractNumId w:val="3"/>
  </w:num>
  <w:num w:numId="17">
    <w:abstractNumId w:val="8"/>
  </w:num>
  <w:num w:numId="18">
    <w:abstractNumId w:val="8"/>
  </w:num>
  <w:num w:numId="19">
    <w:abstractNumId w:val="11"/>
  </w:num>
  <w:num w:numId="20">
    <w:abstractNumId w:val="12"/>
  </w:num>
  <w:num w:numId="21">
    <w:abstractNumId w:val="4"/>
  </w:num>
  <w:num w:numId="22">
    <w:abstractNumId w:val="6"/>
  </w:num>
  <w:num w:numId="23">
    <w:abstractNumId w:val="3"/>
  </w:num>
  <w:num w:numId="24">
    <w:abstractNumId w:val="3"/>
  </w:num>
  <w:num w:numId="25">
    <w:abstractNumId w:val="4"/>
  </w:num>
  <w:num w:numId="26">
    <w:abstractNumId w:val="6"/>
  </w:num>
  <w:num w:numId="27">
    <w:abstractNumId w:val="3"/>
  </w:num>
  <w:num w:numId="28">
    <w:abstractNumId w:val="4"/>
  </w:num>
  <w:num w:numId="29">
    <w:abstractNumId w:val="6"/>
  </w:num>
  <w:num w:numId="30">
    <w:abstractNumId w:val="4"/>
  </w:num>
  <w:num w:numId="31">
    <w:abstractNumId w:val="6"/>
  </w:num>
  <w:num w:numId="32">
    <w:abstractNumId w:val="3"/>
  </w:num>
  <w:num w:numId="33">
    <w:abstractNumId w:val="3"/>
  </w:num>
  <w:num w:numId="34">
    <w:abstractNumId w:val="11"/>
  </w:num>
  <w:num w:numId="35">
    <w:abstractNumId w:val="12"/>
  </w:num>
  <w:num w:numId="36">
    <w:abstractNumId w:val="8"/>
  </w:num>
  <w:num w:numId="37">
    <w:abstractNumId w:val="11"/>
  </w:num>
  <w:num w:numId="38">
    <w:abstractNumId w:val="12"/>
  </w:num>
  <w:num w:numId="39">
    <w:abstractNumId w:val="8"/>
  </w:num>
  <w:num w:numId="40">
    <w:abstractNumId w:val="5"/>
  </w:num>
  <w:num w:numId="41">
    <w:abstractNumId w:val="12"/>
  </w:num>
  <w:num w:numId="42">
    <w:abstractNumId w:val="8"/>
  </w:num>
  <w:num w:numId="43">
    <w:abstractNumId w:val="11"/>
  </w:num>
  <w:num w:numId="44">
    <w:abstractNumId w:val="12"/>
  </w:num>
  <w:num w:numId="45">
    <w:abstractNumId w:val="8"/>
  </w:num>
  <w:num w:numId="46">
    <w:abstractNumId w:val="11"/>
  </w:num>
  <w:num w:numId="47">
    <w:abstractNumId w:val="1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attachedTemplate r:id="rId1"/>
  <w:doNotTrackMoves/>
  <w:defaultTabStop w:val="420"/>
  <w:hyphenationZone w:val="283"/>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CA3A2F"/>
    <w:rsid w:val="00000637"/>
    <w:rsid w:val="000006F8"/>
    <w:rsid w:val="000046B6"/>
    <w:rsid w:val="00004BA7"/>
    <w:rsid w:val="00005FC2"/>
    <w:rsid w:val="00011BC3"/>
    <w:rsid w:val="0001283B"/>
    <w:rsid w:val="0002090C"/>
    <w:rsid w:val="00024621"/>
    <w:rsid w:val="0002467B"/>
    <w:rsid w:val="00025C56"/>
    <w:rsid w:val="000319B8"/>
    <w:rsid w:val="0003351A"/>
    <w:rsid w:val="00034840"/>
    <w:rsid w:val="00034BF8"/>
    <w:rsid w:val="000361F7"/>
    <w:rsid w:val="00037F00"/>
    <w:rsid w:val="00041A10"/>
    <w:rsid w:val="0004245C"/>
    <w:rsid w:val="00042C12"/>
    <w:rsid w:val="000439F3"/>
    <w:rsid w:val="00043F91"/>
    <w:rsid w:val="00044417"/>
    <w:rsid w:val="0004473F"/>
    <w:rsid w:val="00045898"/>
    <w:rsid w:val="000473A9"/>
    <w:rsid w:val="00050716"/>
    <w:rsid w:val="00050C65"/>
    <w:rsid w:val="000520E3"/>
    <w:rsid w:val="00054021"/>
    <w:rsid w:val="000551E0"/>
    <w:rsid w:val="000562B9"/>
    <w:rsid w:val="00056DBB"/>
    <w:rsid w:val="000578BD"/>
    <w:rsid w:val="000602E4"/>
    <w:rsid w:val="000605CD"/>
    <w:rsid w:val="0006467F"/>
    <w:rsid w:val="00071D03"/>
    <w:rsid w:val="00073BD9"/>
    <w:rsid w:val="00077A9D"/>
    <w:rsid w:val="00082D78"/>
    <w:rsid w:val="000833FA"/>
    <w:rsid w:val="000848F9"/>
    <w:rsid w:val="00094176"/>
    <w:rsid w:val="000A0E49"/>
    <w:rsid w:val="000A0F29"/>
    <w:rsid w:val="000A3155"/>
    <w:rsid w:val="000A411D"/>
    <w:rsid w:val="000A45A9"/>
    <w:rsid w:val="000A5FAE"/>
    <w:rsid w:val="000B05D0"/>
    <w:rsid w:val="000B38AC"/>
    <w:rsid w:val="000B529D"/>
    <w:rsid w:val="000B5482"/>
    <w:rsid w:val="000B7EF6"/>
    <w:rsid w:val="000C1C6B"/>
    <w:rsid w:val="000C299D"/>
    <w:rsid w:val="000C4A82"/>
    <w:rsid w:val="000C4B5D"/>
    <w:rsid w:val="000C4FB6"/>
    <w:rsid w:val="000D0745"/>
    <w:rsid w:val="000D0874"/>
    <w:rsid w:val="000D093A"/>
    <w:rsid w:val="000D0B2F"/>
    <w:rsid w:val="000D166F"/>
    <w:rsid w:val="000D2842"/>
    <w:rsid w:val="000D2BB9"/>
    <w:rsid w:val="000D2F06"/>
    <w:rsid w:val="000D5554"/>
    <w:rsid w:val="000D7381"/>
    <w:rsid w:val="000E08FD"/>
    <w:rsid w:val="000E35FE"/>
    <w:rsid w:val="000E37D1"/>
    <w:rsid w:val="000E7A5D"/>
    <w:rsid w:val="000F0E85"/>
    <w:rsid w:val="000F0F9F"/>
    <w:rsid w:val="000F4E0E"/>
    <w:rsid w:val="00100AC3"/>
    <w:rsid w:val="00100FE2"/>
    <w:rsid w:val="00103634"/>
    <w:rsid w:val="001170CF"/>
    <w:rsid w:val="0011779E"/>
    <w:rsid w:val="0012125D"/>
    <w:rsid w:val="00124285"/>
    <w:rsid w:val="0012462F"/>
    <w:rsid w:val="001268A0"/>
    <w:rsid w:val="00127B58"/>
    <w:rsid w:val="00130F88"/>
    <w:rsid w:val="00131F3D"/>
    <w:rsid w:val="001352B6"/>
    <w:rsid w:val="00135C14"/>
    <w:rsid w:val="00140A39"/>
    <w:rsid w:val="00141586"/>
    <w:rsid w:val="0014158B"/>
    <w:rsid w:val="00143181"/>
    <w:rsid w:val="00144660"/>
    <w:rsid w:val="00144DC5"/>
    <w:rsid w:val="00144E54"/>
    <w:rsid w:val="00145F5A"/>
    <w:rsid w:val="00150342"/>
    <w:rsid w:val="00151E48"/>
    <w:rsid w:val="00152F85"/>
    <w:rsid w:val="00155401"/>
    <w:rsid w:val="00156006"/>
    <w:rsid w:val="001603F6"/>
    <w:rsid w:val="00160C50"/>
    <w:rsid w:val="0016263E"/>
    <w:rsid w:val="001632F9"/>
    <w:rsid w:val="00163372"/>
    <w:rsid w:val="00165A01"/>
    <w:rsid w:val="001665A2"/>
    <w:rsid w:val="0016702F"/>
    <w:rsid w:val="001732EE"/>
    <w:rsid w:val="001739FB"/>
    <w:rsid w:val="00173FC0"/>
    <w:rsid w:val="001763AE"/>
    <w:rsid w:val="00176BBA"/>
    <w:rsid w:val="00176DC5"/>
    <w:rsid w:val="00176E73"/>
    <w:rsid w:val="0017709E"/>
    <w:rsid w:val="001812DE"/>
    <w:rsid w:val="00182861"/>
    <w:rsid w:val="00184B65"/>
    <w:rsid w:val="00184ECF"/>
    <w:rsid w:val="001854A7"/>
    <w:rsid w:val="00192141"/>
    <w:rsid w:val="001929BE"/>
    <w:rsid w:val="00193EBD"/>
    <w:rsid w:val="00194DCB"/>
    <w:rsid w:val="001A0D5B"/>
    <w:rsid w:val="001A103B"/>
    <w:rsid w:val="001A3926"/>
    <w:rsid w:val="001A4A0E"/>
    <w:rsid w:val="001A7D08"/>
    <w:rsid w:val="001B09F9"/>
    <w:rsid w:val="001B22D3"/>
    <w:rsid w:val="001B2E32"/>
    <w:rsid w:val="001B396D"/>
    <w:rsid w:val="001B3A0F"/>
    <w:rsid w:val="001B446E"/>
    <w:rsid w:val="001C0136"/>
    <w:rsid w:val="001C2A2E"/>
    <w:rsid w:val="001C3B86"/>
    <w:rsid w:val="001C6374"/>
    <w:rsid w:val="001D0A2E"/>
    <w:rsid w:val="001D0BD8"/>
    <w:rsid w:val="001D4C88"/>
    <w:rsid w:val="001D4CBF"/>
    <w:rsid w:val="001D5C83"/>
    <w:rsid w:val="001D5CB0"/>
    <w:rsid w:val="001D7118"/>
    <w:rsid w:val="001D7351"/>
    <w:rsid w:val="001E0BFA"/>
    <w:rsid w:val="001E26BA"/>
    <w:rsid w:val="001E3DBC"/>
    <w:rsid w:val="001F2913"/>
    <w:rsid w:val="001F45A9"/>
    <w:rsid w:val="001F55DC"/>
    <w:rsid w:val="001F5A4A"/>
    <w:rsid w:val="0020147D"/>
    <w:rsid w:val="002021CF"/>
    <w:rsid w:val="002026F5"/>
    <w:rsid w:val="00206B4D"/>
    <w:rsid w:val="002070A4"/>
    <w:rsid w:val="0021202D"/>
    <w:rsid w:val="00214190"/>
    <w:rsid w:val="00216A50"/>
    <w:rsid w:val="00216FA9"/>
    <w:rsid w:val="00220209"/>
    <w:rsid w:val="002220D5"/>
    <w:rsid w:val="00223A64"/>
    <w:rsid w:val="00225217"/>
    <w:rsid w:val="00225F3F"/>
    <w:rsid w:val="00226AB1"/>
    <w:rsid w:val="00233EC7"/>
    <w:rsid w:val="00234505"/>
    <w:rsid w:val="00235077"/>
    <w:rsid w:val="00235973"/>
    <w:rsid w:val="00236969"/>
    <w:rsid w:val="00236C0D"/>
    <w:rsid w:val="00236D35"/>
    <w:rsid w:val="00236F94"/>
    <w:rsid w:val="00237EDD"/>
    <w:rsid w:val="0024084D"/>
    <w:rsid w:val="00240C8C"/>
    <w:rsid w:val="00241C14"/>
    <w:rsid w:val="002434C9"/>
    <w:rsid w:val="00246CE0"/>
    <w:rsid w:val="0025127B"/>
    <w:rsid w:val="00251811"/>
    <w:rsid w:val="0025232D"/>
    <w:rsid w:val="00252515"/>
    <w:rsid w:val="0025259B"/>
    <w:rsid w:val="00252BD9"/>
    <w:rsid w:val="00253193"/>
    <w:rsid w:val="00255B5C"/>
    <w:rsid w:val="00257403"/>
    <w:rsid w:val="0025777F"/>
    <w:rsid w:val="00261B77"/>
    <w:rsid w:val="00263890"/>
    <w:rsid w:val="0026479E"/>
    <w:rsid w:val="002665A2"/>
    <w:rsid w:val="00271978"/>
    <w:rsid w:val="00272574"/>
    <w:rsid w:val="00273440"/>
    <w:rsid w:val="0027513B"/>
    <w:rsid w:val="0027593D"/>
    <w:rsid w:val="00275F7E"/>
    <w:rsid w:val="00276B71"/>
    <w:rsid w:val="0027713B"/>
    <w:rsid w:val="002813F6"/>
    <w:rsid w:val="00285954"/>
    <w:rsid w:val="0028727D"/>
    <w:rsid w:val="002915B6"/>
    <w:rsid w:val="0029287A"/>
    <w:rsid w:val="00294C2F"/>
    <w:rsid w:val="0029628E"/>
    <w:rsid w:val="00296EB7"/>
    <w:rsid w:val="002A31E4"/>
    <w:rsid w:val="002A66E9"/>
    <w:rsid w:val="002B0BCA"/>
    <w:rsid w:val="002B37F5"/>
    <w:rsid w:val="002B4981"/>
    <w:rsid w:val="002B75A2"/>
    <w:rsid w:val="002B7893"/>
    <w:rsid w:val="002C0E6A"/>
    <w:rsid w:val="002C28DD"/>
    <w:rsid w:val="002C300A"/>
    <w:rsid w:val="002C5045"/>
    <w:rsid w:val="002C6C5F"/>
    <w:rsid w:val="002C7423"/>
    <w:rsid w:val="002C7CEB"/>
    <w:rsid w:val="002D0834"/>
    <w:rsid w:val="002D2055"/>
    <w:rsid w:val="002D476D"/>
    <w:rsid w:val="002D4F9D"/>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F39"/>
    <w:rsid w:val="0030282D"/>
    <w:rsid w:val="0030286C"/>
    <w:rsid w:val="0030379B"/>
    <w:rsid w:val="003053D7"/>
    <w:rsid w:val="00305668"/>
    <w:rsid w:val="003066AC"/>
    <w:rsid w:val="00306771"/>
    <w:rsid w:val="0030792C"/>
    <w:rsid w:val="00307DAD"/>
    <w:rsid w:val="00310EBF"/>
    <w:rsid w:val="00312F5B"/>
    <w:rsid w:val="0031308C"/>
    <w:rsid w:val="0031392A"/>
    <w:rsid w:val="003167AC"/>
    <w:rsid w:val="0032250E"/>
    <w:rsid w:val="00322580"/>
    <w:rsid w:val="003229FD"/>
    <w:rsid w:val="003246E2"/>
    <w:rsid w:val="0032589B"/>
    <w:rsid w:val="003260DD"/>
    <w:rsid w:val="0033124F"/>
    <w:rsid w:val="0033164F"/>
    <w:rsid w:val="00333C2D"/>
    <w:rsid w:val="003352F1"/>
    <w:rsid w:val="00336080"/>
    <w:rsid w:val="00336BEA"/>
    <w:rsid w:val="003379F5"/>
    <w:rsid w:val="00340477"/>
    <w:rsid w:val="00341638"/>
    <w:rsid w:val="00341815"/>
    <w:rsid w:val="00344684"/>
    <w:rsid w:val="00344DFE"/>
    <w:rsid w:val="00346A68"/>
    <w:rsid w:val="00346B1B"/>
    <w:rsid w:val="00347596"/>
    <w:rsid w:val="00352D55"/>
    <w:rsid w:val="0035313A"/>
    <w:rsid w:val="0035340A"/>
    <w:rsid w:val="00353B41"/>
    <w:rsid w:val="0035469E"/>
    <w:rsid w:val="0035521D"/>
    <w:rsid w:val="00356AF6"/>
    <w:rsid w:val="00357207"/>
    <w:rsid w:val="00363D81"/>
    <w:rsid w:val="00367166"/>
    <w:rsid w:val="00367343"/>
    <w:rsid w:val="003675B2"/>
    <w:rsid w:val="00367C05"/>
    <w:rsid w:val="00370569"/>
    <w:rsid w:val="003709EC"/>
    <w:rsid w:val="00373D16"/>
    <w:rsid w:val="00373F32"/>
    <w:rsid w:val="00374898"/>
    <w:rsid w:val="00376FA1"/>
    <w:rsid w:val="00381C2D"/>
    <w:rsid w:val="00381D89"/>
    <w:rsid w:val="00381FC4"/>
    <w:rsid w:val="003835CE"/>
    <w:rsid w:val="00384F4A"/>
    <w:rsid w:val="003855CF"/>
    <w:rsid w:val="003902E6"/>
    <w:rsid w:val="00390C6C"/>
    <w:rsid w:val="00391035"/>
    <w:rsid w:val="003911F6"/>
    <w:rsid w:val="003916F7"/>
    <w:rsid w:val="00391F71"/>
    <w:rsid w:val="003938E0"/>
    <w:rsid w:val="00394742"/>
    <w:rsid w:val="003A0FDD"/>
    <w:rsid w:val="003A116E"/>
    <w:rsid w:val="003A1FCC"/>
    <w:rsid w:val="003A2168"/>
    <w:rsid w:val="003A3F7E"/>
    <w:rsid w:val="003A445F"/>
    <w:rsid w:val="003A4FD3"/>
    <w:rsid w:val="003B2A22"/>
    <w:rsid w:val="003B3A7C"/>
    <w:rsid w:val="003B4E63"/>
    <w:rsid w:val="003B4E9A"/>
    <w:rsid w:val="003B559A"/>
    <w:rsid w:val="003B65E3"/>
    <w:rsid w:val="003C014C"/>
    <w:rsid w:val="003C245C"/>
    <w:rsid w:val="003C2C26"/>
    <w:rsid w:val="003C4A20"/>
    <w:rsid w:val="003C4AAF"/>
    <w:rsid w:val="003C7C01"/>
    <w:rsid w:val="003D1BCF"/>
    <w:rsid w:val="003D2888"/>
    <w:rsid w:val="003D2BC8"/>
    <w:rsid w:val="003D4FDB"/>
    <w:rsid w:val="003D6836"/>
    <w:rsid w:val="003D6DF8"/>
    <w:rsid w:val="003D740F"/>
    <w:rsid w:val="003E08EB"/>
    <w:rsid w:val="003E0C56"/>
    <w:rsid w:val="003E14E1"/>
    <w:rsid w:val="003E2B81"/>
    <w:rsid w:val="003E5F91"/>
    <w:rsid w:val="003E68A1"/>
    <w:rsid w:val="003F0471"/>
    <w:rsid w:val="003F21C8"/>
    <w:rsid w:val="003F2876"/>
    <w:rsid w:val="003F35A6"/>
    <w:rsid w:val="003F368E"/>
    <w:rsid w:val="003F4AE6"/>
    <w:rsid w:val="003F6004"/>
    <w:rsid w:val="003F6831"/>
    <w:rsid w:val="003F693E"/>
    <w:rsid w:val="00401EA0"/>
    <w:rsid w:val="0040655F"/>
    <w:rsid w:val="00407752"/>
    <w:rsid w:val="00411667"/>
    <w:rsid w:val="004123C0"/>
    <w:rsid w:val="00412F36"/>
    <w:rsid w:val="00412FD3"/>
    <w:rsid w:val="004137AF"/>
    <w:rsid w:val="00415FB0"/>
    <w:rsid w:val="00416645"/>
    <w:rsid w:val="00417A0D"/>
    <w:rsid w:val="00420956"/>
    <w:rsid w:val="00423429"/>
    <w:rsid w:val="00424882"/>
    <w:rsid w:val="004256BE"/>
    <w:rsid w:val="00425AEA"/>
    <w:rsid w:val="0042627E"/>
    <w:rsid w:val="004262FE"/>
    <w:rsid w:val="00427902"/>
    <w:rsid w:val="0043115A"/>
    <w:rsid w:val="00432800"/>
    <w:rsid w:val="00433837"/>
    <w:rsid w:val="00434423"/>
    <w:rsid w:val="00436BA8"/>
    <w:rsid w:val="0043748F"/>
    <w:rsid w:val="004378B1"/>
    <w:rsid w:val="0044006E"/>
    <w:rsid w:val="00441209"/>
    <w:rsid w:val="00441AF9"/>
    <w:rsid w:val="00441FA3"/>
    <w:rsid w:val="004466AA"/>
    <w:rsid w:val="00446CA3"/>
    <w:rsid w:val="0045011E"/>
    <w:rsid w:val="0045101B"/>
    <w:rsid w:val="004539D4"/>
    <w:rsid w:val="00453CFB"/>
    <w:rsid w:val="0045405C"/>
    <w:rsid w:val="00455021"/>
    <w:rsid w:val="00456BA6"/>
    <w:rsid w:val="00461413"/>
    <w:rsid w:val="004614D9"/>
    <w:rsid w:val="00461DA2"/>
    <w:rsid w:val="00462789"/>
    <w:rsid w:val="00462F89"/>
    <w:rsid w:val="00467F33"/>
    <w:rsid w:val="00471859"/>
    <w:rsid w:val="00475F95"/>
    <w:rsid w:val="00476172"/>
    <w:rsid w:val="00477487"/>
    <w:rsid w:val="0048098C"/>
    <w:rsid w:val="00480BAE"/>
    <w:rsid w:val="00481ADA"/>
    <w:rsid w:val="00483436"/>
    <w:rsid w:val="00484615"/>
    <w:rsid w:val="004869B2"/>
    <w:rsid w:val="00486F32"/>
    <w:rsid w:val="00492418"/>
    <w:rsid w:val="00492DD6"/>
    <w:rsid w:val="004938FB"/>
    <w:rsid w:val="004971EB"/>
    <w:rsid w:val="004975CF"/>
    <w:rsid w:val="004A070F"/>
    <w:rsid w:val="004A3D67"/>
    <w:rsid w:val="004A3EEB"/>
    <w:rsid w:val="004A44AE"/>
    <w:rsid w:val="004A485C"/>
    <w:rsid w:val="004A6E3D"/>
    <w:rsid w:val="004A7C02"/>
    <w:rsid w:val="004A7D51"/>
    <w:rsid w:val="004B1516"/>
    <w:rsid w:val="004B637A"/>
    <w:rsid w:val="004B664F"/>
    <w:rsid w:val="004C16C9"/>
    <w:rsid w:val="004C1961"/>
    <w:rsid w:val="004C1A82"/>
    <w:rsid w:val="004C1AB7"/>
    <w:rsid w:val="004C1B70"/>
    <w:rsid w:val="004C3D4B"/>
    <w:rsid w:val="004C6EE2"/>
    <w:rsid w:val="004C71C5"/>
    <w:rsid w:val="004D0408"/>
    <w:rsid w:val="004D3D30"/>
    <w:rsid w:val="004D464D"/>
    <w:rsid w:val="004D50E0"/>
    <w:rsid w:val="004D6828"/>
    <w:rsid w:val="004E16F5"/>
    <w:rsid w:val="004E70CE"/>
    <w:rsid w:val="004F1511"/>
    <w:rsid w:val="004F41A3"/>
    <w:rsid w:val="004F7B5B"/>
    <w:rsid w:val="00505235"/>
    <w:rsid w:val="005052F4"/>
    <w:rsid w:val="005055B1"/>
    <w:rsid w:val="0050609E"/>
    <w:rsid w:val="00514D19"/>
    <w:rsid w:val="00516FD5"/>
    <w:rsid w:val="005173DA"/>
    <w:rsid w:val="00520C33"/>
    <w:rsid w:val="00523C06"/>
    <w:rsid w:val="00525CC6"/>
    <w:rsid w:val="00527BF5"/>
    <w:rsid w:val="00532B9C"/>
    <w:rsid w:val="005332DD"/>
    <w:rsid w:val="00533883"/>
    <w:rsid w:val="00534135"/>
    <w:rsid w:val="00536007"/>
    <w:rsid w:val="005400CD"/>
    <w:rsid w:val="00541DC6"/>
    <w:rsid w:val="00546A9B"/>
    <w:rsid w:val="005477D0"/>
    <w:rsid w:val="00547A73"/>
    <w:rsid w:val="00550577"/>
    <w:rsid w:val="00550622"/>
    <w:rsid w:val="005518BE"/>
    <w:rsid w:val="005519F1"/>
    <w:rsid w:val="00554334"/>
    <w:rsid w:val="00554D7C"/>
    <w:rsid w:val="005569C6"/>
    <w:rsid w:val="00556FA7"/>
    <w:rsid w:val="005574FA"/>
    <w:rsid w:val="005579F5"/>
    <w:rsid w:val="0056451B"/>
    <w:rsid w:val="00565398"/>
    <w:rsid w:val="005665B7"/>
    <w:rsid w:val="0056676E"/>
    <w:rsid w:val="00566825"/>
    <w:rsid w:val="00566C4A"/>
    <w:rsid w:val="0056718A"/>
    <w:rsid w:val="00567455"/>
    <w:rsid w:val="00570518"/>
    <w:rsid w:val="00571422"/>
    <w:rsid w:val="00580739"/>
    <w:rsid w:val="00587918"/>
    <w:rsid w:val="005879FB"/>
    <w:rsid w:val="00591118"/>
    <w:rsid w:val="0059157D"/>
    <w:rsid w:val="00592174"/>
    <w:rsid w:val="005967E7"/>
    <w:rsid w:val="0059706B"/>
    <w:rsid w:val="0059738E"/>
    <w:rsid w:val="005A1A79"/>
    <w:rsid w:val="005A42BD"/>
    <w:rsid w:val="005A6846"/>
    <w:rsid w:val="005A791C"/>
    <w:rsid w:val="005B372B"/>
    <w:rsid w:val="005B6231"/>
    <w:rsid w:val="005C001C"/>
    <w:rsid w:val="005C1C6F"/>
    <w:rsid w:val="005C2A6C"/>
    <w:rsid w:val="005C5730"/>
    <w:rsid w:val="005D196D"/>
    <w:rsid w:val="005D19D4"/>
    <w:rsid w:val="005D2650"/>
    <w:rsid w:val="005D35BB"/>
    <w:rsid w:val="005E1274"/>
    <w:rsid w:val="005E13E0"/>
    <w:rsid w:val="005E36A0"/>
    <w:rsid w:val="005E4EC3"/>
    <w:rsid w:val="005E64B5"/>
    <w:rsid w:val="005E7457"/>
    <w:rsid w:val="005E74D7"/>
    <w:rsid w:val="005E790B"/>
    <w:rsid w:val="005F092A"/>
    <w:rsid w:val="005F1258"/>
    <w:rsid w:val="005F3117"/>
    <w:rsid w:val="005F69DB"/>
    <w:rsid w:val="0060191C"/>
    <w:rsid w:val="00603D46"/>
    <w:rsid w:val="0060502A"/>
    <w:rsid w:val="006054D8"/>
    <w:rsid w:val="00607C65"/>
    <w:rsid w:val="00610143"/>
    <w:rsid w:val="006101B1"/>
    <w:rsid w:val="00610C2F"/>
    <w:rsid w:val="006118C4"/>
    <w:rsid w:val="00612526"/>
    <w:rsid w:val="00612FD7"/>
    <w:rsid w:val="00614AE8"/>
    <w:rsid w:val="0061539D"/>
    <w:rsid w:val="0061583B"/>
    <w:rsid w:val="00615B18"/>
    <w:rsid w:val="00621703"/>
    <w:rsid w:val="00621836"/>
    <w:rsid w:val="00621F58"/>
    <w:rsid w:val="00622325"/>
    <w:rsid w:val="00622348"/>
    <w:rsid w:val="00625F2E"/>
    <w:rsid w:val="00626100"/>
    <w:rsid w:val="00626476"/>
    <w:rsid w:val="00627115"/>
    <w:rsid w:val="006310D8"/>
    <w:rsid w:val="00632FFF"/>
    <w:rsid w:val="006349FA"/>
    <w:rsid w:val="006378A2"/>
    <w:rsid w:val="00637E6E"/>
    <w:rsid w:val="006402BD"/>
    <w:rsid w:val="006408F0"/>
    <w:rsid w:val="006410D6"/>
    <w:rsid w:val="006411A5"/>
    <w:rsid w:val="00641221"/>
    <w:rsid w:val="00642B45"/>
    <w:rsid w:val="0064371D"/>
    <w:rsid w:val="00645862"/>
    <w:rsid w:val="006458D8"/>
    <w:rsid w:val="0065221D"/>
    <w:rsid w:val="00652887"/>
    <w:rsid w:val="00653B88"/>
    <w:rsid w:val="00654659"/>
    <w:rsid w:val="00655087"/>
    <w:rsid w:val="00655F4C"/>
    <w:rsid w:val="0065777B"/>
    <w:rsid w:val="00661780"/>
    <w:rsid w:val="00663D7F"/>
    <w:rsid w:val="00663FED"/>
    <w:rsid w:val="00667F99"/>
    <w:rsid w:val="006719DE"/>
    <w:rsid w:val="00673C97"/>
    <w:rsid w:val="00674566"/>
    <w:rsid w:val="006746B1"/>
    <w:rsid w:val="00677AAC"/>
    <w:rsid w:val="006808E8"/>
    <w:rsid w:val="00682FE2"/>
    <w:rsid w:val="00684284"/>
    <w:rsid w:val="00684579"/>
    <w:rsid w:val="00686750"/>
    <w:rsid w:val="00686CBD"/>
    <w:rsid w:val="00686CC5"/>
    <w:rsid w:val="0068700B"/>
    <w:rsid w:val="0069559D"/>
    <w:rsid w:val="00695D67"/>
    <w:rsid w:val="00696F8C"/>
    <w:rsid w:val="0069700C"/>
    <w:rsid w:val="00697037"/>
    <w:rsid w:val="00697801"/>
    <w:rsid w:val="006A074F"/>
    <w:rsid w:val="006A54E3"/>
    <w:rsid w:val="006A55D7"/>
    <w:rsid w:val="006A7AD1"/>
    <w:rsid w:val="006B20CA"/>
    <w:rsid w:val="006B440B"/>
    <w:rsid w:val="006B5189"/>
    <w:rsid w:val="006C09DE"/>
    <w:rsid w:val="006C1055"/>
    <w:rsid w:val="006C3E9D"/>
    <w:rsid w:val="006C44B9"/>
    <w:rsid w:val="006C4FA4"/>
    <w:rsid w:val="006C6552"/>
    <w:rsid w:val="006C67DC"/>
    <w:rsid w:val="006C7D91"/>
    <w:rsid w:val="006C7FED"/>
    <w:rsid w:val="006D0C85"/>
    <w:rsid w:val="006D2ED9"/>
    <w:rsid w:val="006D4052"/>
    <w:rsid w:val="006D425B"/>
    <w:rsid w:val="006D6F56"/>
    <w:rsid w:val="006D7D80"/>
    <w:rsid w:val="006E17AC"/>
    <w:rsid w:val="006E24C6"/>
    <w:rsid w:val="006E32F6"/>
    <w:rsid w:val="006E60D8"/>
    <w:rsid w:val="006E60E5"/>
    <w:rsid w:val="006F0B83"/>
    <w:rsid w:val="00701836"/>
    <w:rsid w:val="00701F70"/>
    <w:rsid w:val="00702650"/>
    <w:rsid w:val="007062E3"/>
    <w:rsid w:val="00706936"/>
    <w:rsid w:val="0070769C"/>
    <w:rsid w:val="00715914"/>
    <w:rsid w:val="00716CC2"/>
    <w:rsid w:val="0071759D"/>
    <w:rsid w:val="0072079B"/>
    <w:rsid w:val="00722184"/>
    <w:rsid w:val="007229D7"/>
    <w:rsid w:val="0072401B"/>
    <w:rsid w:val="00724474"/>
    <w:rsid w:val="007269A0"/>
    <w:rsid w:val="00730EDD"/>
    <w:rsid w:val="00734C7C"/>
    <w:rsid w:val="00736FD6"/>
    <w:rsid w:val="0073714D"/>
    <w:rsid w:val="00737F17"/>
    <w:rsid w:val="0074264B"/>
    <w:rsid w:val="0074415C"/>
    <w:rsid w:val="00746790"/>
    <w:rsid w:val="0074696F"/>
    <w:rsid w:val="00746DFC"/>
    <w:rsid w:val="00747BD5"/>
    <w:rsid w:val="007512D0"/>
    <w:rsid w:val="0075223F"/>
    <w:rsid w:val="00752DCE"/>
    <w:rsid w:val="00753727"/>
    <w:rsid w:val="00755404"/>
    <w:rsid w:val="00755676"/>
    <w:rsid w:val="00760E65"/>
    <w:rsid w:val="00763B07"/>
    <w:rsid w:val="00763D41"/>
    <w:rsid w:val="00766CD4"/>
    <w:rsid w:val="0077147D"/>
    <w:rsid w:val="007814A1"/>
    <w:rsid w:val="00786C6C"/>
    <w:rsid w:val="00790072"/>
    <w:rsid w:val="00792569"/>
    <w:rsid w:val="007936E5"/>
    <w:rsid w:val="00793A96"/>
    <w:rsid w:val="00797151"/>
    <w:rsid w:val="007A23B6"/>
    <w:rsid w:val="007A29C5"/>
    <w:rsid w:val="007B0185"/>
    <w:rsid w:val="007B0A56"/>
    <w:rsid w:val="007B4B9B"/>
    <w:rsid w:val="007B7493"/>
    <w:rsid w:val="007C425D"/>
    <w:rsid w:val="007C431E"/>
    <w:rsid w:val="007C7E77"/>
    <w:rsid w:val="007D40E6"/>
    <w:rsid w:val="007D4FC4"/>
    <w:rsid w:val="007D6401"/>
    <w:rsid w:val="007D76D3"/>
    <w:rsid w:val="007D7ECD"/>
    <w:rsid w:val="007E1C66"/>
    <w:rsid w:val="007E250D"/>
    <w:rsid w:val="007E25C6"/>
    <w:rsid w:val="007E3C59"/>
    <w:rsid w:val="007E3F1A"/>
    <w:rsid w:val="007E3F1E"/>
    <w:rsid w:val="007E52C3"/>
    <w:rsid w:val="007E596F"/>
    <w:rsid w:val="007E70AC"/>
    <w:rsid w:val="007E735C"/>
    <w:rsid w:val="007E7A85"/>
    <w:rsid w:val="007F0197"/>
    <w:rsid w:val="007F0281"/>
    <w:rsid w:val="007F1923"/>
    <w:rsid w:val="007F1FB0"/>
    <w:rsid w:val="007F263B"/>
    <w:rsid w:val="007F2DC8"/>
    <w:rsid w:val="007F5437"/>
    <w:rsid w:val="007F5BE2"/>
    <w:rsid w:val="007F7723"/>
    <w:rsid w:val="0080057F"/>
    <w:rsid w:val="008005B3"/>
    <w:rsid w:val="0080262B"/>
    <w:rsid w:val="0080381D"/>
    <w:rsid w:val="00803BBF"/>
    <w:rsid w:val="008045A7"/>
    <w:rsid w:val="00804F2A"/>
    <w:rsid w:val="00806F80"/>
    <w:rsid w:val="008111C0"/>
    <w:rsid w:val="00811217"/>
    <w:rsid w:val="00814E34"/>
    <w:rsid w:val="008156EB"/>
    <w:rsid w:val="008158EE"/>
    <w:rsid w:val="0081603E"/>
    <w:rsid w:val="00816EB3"/>
    <w:rsid w:val="008252B3"/>
    <w:rsid w:val="00826339"/>
    <w:rsid w:val="00826661"/>
    <w:rsid w:val="008277BB"/>
    <w:rsid w:val="00831D40"/>
    <w:rsid w:val="00832530"/>
    <w:rsid w:val="0083491C"/>
    <w:rsid w:val="00834DFD"/>
    <w:rsid w:val="00837B94"/>
    <w:rsid w:val="00837BC3"/>
    <w:rsid w:val="00840C66"/>
    <w:rsid w:val="008417F4"/>
    <w:rsid w:val="008418F1"/>
    <w:rsid w:val="008434A1"/>
    <w:rsid w:val="00844A58"/>
    <w:rsid w:val="008471DD"/>
    <w:rsid w:val="0084766E"/>
    <w:rsid w:val="00851EA5"/>
    <w:rsid w:val="00852591"/>
    <w:rsid w:val="00854221"/>
    <w:rsid w:val="00856761"/>
    <w:rsid w:val="00857347"/>
    <w:rsid w:val="008573D5"/>
    <w:rsid w:val="008625BD"/>
    <w:rsid w:val="008640E5"/>
    <w:rsid w:val="00865499"/>
    <w:rsid w:val="008670AA"/>
    <w:rsid w:val="0086721C"/>
    <w:rsid w:val="00870E00"/>
    <w:rsid w:val="008777D3"/>
    <w:rsid w:val="008810B3"/>
    <w:rsid w:val="00883B03"/>
    <w:rsid w:val="0088505F"/>
    <w:rsid w:val="0088519A"/>
    <w:rsid w:val="00885BB0"/>
    <w:rsid w:val="00890C8F"/>
    <w:rsid w:val="00891F22"/>
    <w:rsid w:val="00894D12"/>
    <w:rsid w:val="00894E26"/>
    <w:rsid w:val="00895D2A"/>
    <w:rsid w:val="00896C4C"/>
    <w:rsid w:val="008A1923"/>
    <w:rsid w:val="008A20CD"/>
    <w:rsid w:val="008A26D8"/>
    <w:rsid w:val="008A37CD"/>
    <w:rsid w:val="008A5B8F"/>
    <w:rsid w:val="008A5EC4"/>
    <w:rsid w:val="008A6BDF"/>
    <w:rsid w:val="008A716B"/>
    <w:rsid w:val="008B5B4F"/>
    <w:rsid w:val="008C018C"/>
    <w:rsid w:val="008C075E"/>
    <w:rsid w:val="008C0E13"/>
    <w:rsid w:val="008C2CAB"/>
    <w:rsid w:val="008C3CC7"/>
    <w:rsid w:val="008C5A60"/>
    <w:rsid w:val="008D2721"/>
    <w:rsid w:val="008D4222"/>
    <w:rsid w:val="008D448D"/>
    <w:rsid w:val="008D48DD"/>
    <w:rsid w:val="008D5B12"/>
    <w:rsid w:val="008D5E3B"/>
    <w:rsid w:val="008E114F"/>
    <w:rsid w:val="008E37F2"/>
    <w:rsid w:val="008E7A56"/>
    <w:rsid w:val="008E7C63"/>
    <w:rsid w:val="008F1A68"/>
    <w:rsid w:val="008F2DEE"/>
    <w:rsid w:val="008F33FE"/>
    <w:rsid w:val="008F3A92"/>
    <w:rsid w:val="008F71EA"/>
    <w:rsid w:val="008F7B16"/>
    <w:rsid w:val="00900F5C"/>
    <w:rsid w:val="0090278A"/>
    <w:rsid w:val="009029A5"/>
    <w:rsid w:val="00910A12"/>
    <w:rsid w:val="009136F9"/>
    <w:rsid w:val="00916274"/>
    <w:rsid w:val="00917AB1"/>
    <w:rsid w:val="0092016B"/>
    <w:rsid w:val="0092078E"/>
    <w:rsid w:val="00921161"/>
    <w:rsid w:val="00922F79"/>
    <w:rsid w:val="00923D04"/>
    <w:rsid w:val="00924154"/>
    <w:rsid w:val="00924749"/>
    <w:rsid w:val="0092599A"/>
    <w:rsid w:val="00926435"/>
    <w:rsid w:val="00930D40"/>
    <w:rsid w:val="009320BE"/>
    <w:rsid w:val="0093245D"/>
    <w:rsid w:val="00932DF7"/>
    <w:rsid w:val="00935FFF"/>
    <w:rsid w:val="00936873"/>
    <w:rsid w:val="00937630"/>
    <w:rsid w:val="00941A38"/>
    <w:rsid w:val="00943DB0"/>
    <w:rsid w:val="009445C2"/>
    <w:rsid w:val="00945ABF"/>
    <w:rsid w:val="009479BC"/>
    <w:rsid w:val="009502B2"/>
    <w:rsid w:val="00953BF5"/>
    <w:rsid w:val="0095432D"/>
    <w:rsid w:val="00954F6E"/>
    <w:rsid w:val="009564D7"/>
    <w:rsid w:val="0095730D"/>
    <w:rsid w:val="009573AE"/>
    <w:rsid w:val="00957A7B"/>
    <w:rsid w:val="00957C7E"/>
    <w:rsid w:val="009636E0"/>
    <w:rsid w:val="00965D9A"/>
    <w:rsid w:val="00971857"/>
    <w:rsid w:val="0097717F"/>
    <w:rsid w:val="009801B6"/>
    <w:rsid w:val="0098119E"/>
    <w:rsid w:val="00986BB9"/>
    <w:rsid w:val="0098796E"/>
    <w:rsid w:val="0099115A"/>
    <w:rsid w:val="00992FA0"/>
    <w:rsid w:val="0099449B"/>
    <w:rsid w:val="009947DB"/>
    <w:rsid w:val="00994E48"/>
    <w:rsid w:val="0099601C"/>
    <w:rsid w:val="00997702"/>
    <w:rsid w:val="009A21C5"/>
    <w:rsid w:val="009A2D1C"/>
    <w:rsid w:val="009A428D"/>
    <w:rsid w:val="009A453D"/>
    <w:rsid w:val="009A656B"/>
    <w:rsid w:val="009A73A9"/>
    <w:rsid w:val="009A7DE1"/>
    <w:rsid w:val="009B1383"/>
    <w:rsid w:val="009B75D1"/>
    <w:rsid w:val="009B796F"/>
    <w:rsid w:val="009C1EA0"/>
    <w:rsid w:val="009C3A17"/>
    <w:rsid w:val="009C47DE"/>
    <w:rsid w:val="009C4D38"/>
    <w:rsid w:val="009C501E"/>
    <w:rsid w:val="009C50FC"/>
    <w:rsid w:val="009D0479"/>
    <w:rsid w:val="009D0924"/>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1504"/>
    <w:rsid w:val="00A01773"/>
    <w:rsid w:val="00A03E59"/>
    <w:rsid w:val="00A06558"/>
    <w:rsid w:val="00A06614"/>
    <w:rsid w:val="00A0689F"/>
    <w:rsid w:val="00A077D6"/>
    <w:rsid w:val="00A10B4B"/>
    <w:rsid w:val="00A12039"/>
    <w:rsid w:val="00A14C60"/>
    <w:rsid w:val="00A15B50"/>
    <w:rsid w:val="00A16B99"/>
    <w:rsid w:val="00A202CE"/>
    <w:rsid w:val="00A2661C"/>
    <w:rsid w:val="00A26A51"/>
    <w:rsid w:val="00A30E40"/>
    <w:rsid w:val="00A31AFC"/>
    <w:rsid w:val="00A32E38"/>
    <w:rsid w:val="00A34A3A"/>
    <w:rsid w:val="00A34AC3"/>
    <w:rsid w:val="00A37CE5"/>
    <w:rsid w:val="00A404B1"/>
    <w:rsid w:val="00A434D9"/>
    <w:rsid w:val="00A44129"/>
    <w:rsid w:val="00A44FB7"/>
    <w:rsid w:val="00A46EC6"/>
    <w:rsid w:val="00A46FB9"/>
    <w:rsid w:val="00A47071"/>
    <w:rsid w:val="00A51E43"/>
    <w:rsid w:val="00A55A64"/>
    <w:rsid w:val="00A61DE2"/>
    <w:rsid w:val="00A67762"/>
    <w:rsid w:val="00A70616"/>
    <w:rsid w:val="00A7295D"/>
    <w:rsid w:val="00A753C9"/>
    <w:rsid w:val="00A82ADF"/>
    <w:rsid w:val="00A84532"/>
    <w:rsid w:val="00A84F67"/>
    <w:rsid w:val="00A8598D"/>
    <w:rsid w:val="00A861F6"/>
    <w:rsid w:val="00A902DE"/>
    <w:rsid w:val="00A9156B"/>
    <w:rsid w:val="00A91FB2"/>
    <w:rsid w:val="00A95E52"/>
    <w:rsid w:val="00A96386"/>
    <w:rsid w:val="00A96AAA"/>
    <w:rsid w:val="00A96DC0"/>
    <w:rsid w:val="00AA4CDC"/>
    <w:rsid w:val="00AA534C"/>
    <w:rsid w:val="00AA6D33"/>
    <w:rsid w:val="00AA6D42"/>
    <w:rsid w:val="00AA7D47"/>
    <w:rsid w:val="00AB118B"/>
    <w:rsid w:val="00AB3B2F"/>
    <w:rsid w:val="00AB4374"/>
    <w:rsid w:val="00AB6225"/>
    <w:rsid w:val="00AB7823"/>
    <w:rsid w:val="00AC0F37"/>
    <w:rsid w:val="00AC1CB6"/>
    <w:rsid w:val="00AC2E74"/>
    <w:rsid w:val="00AC37B2"/>
    <w:rsid w:val="00AD1980"/>
    <w:rsid w:val="00AD323F"/>
    <w:rsid w:val="00AD414A"/>
    <w:rsid w:val="00AD419B"/>
    <w:rsid w:val="00AD452E"/>
    <w:rsid w:val="00AD595E"/>
    <w:rsid w:val="00AD5DDA"/>
    <w:rsid w:val="00AE1FC9"/>
    <w:rsid w:val="00AE26B0"/>
    <w:rsid w:val="00AE481D"/>
    <w:rsid w:val="00AE737B"/>
    <w:rsid w:val="00AF3647"/>
    <w:rsid w:val="00AF69A6"/>
    <w:rsid w:val="00AF6B00"/>
    <w:rsid w:val="00AF6F96"/>
    <w:rsid w:val="00AF75FB"/>
    <w:rsid w:val="00AF7D31"/>
    <w:rsid w:val="00B00435"/>
    <w:rsid w:val="00B00829"/>
    <w:rsid w:val="00B02E5B"/>
    <w:rsid w:val="00B062AD"/>
    <w:rsid w:val="00B06C8B"/>
    <w:rsid w:val="00B075B0"/>
    <w:rsid w:val="00B110B4"/>
    <w:rsid w:val="00B13618"/>
    <w:rsid w:val="00B2055D"/>
    <w:rsid w:val="00B21A85"/>
    <w:rsid w:val="00B21C2D"/>
    <w:rsid w:val="00B225D6"/>
    <w:rsid w:val="00B23DA4"/>
    <w:rsid w:val="00B243FE"/>
    <w:rsid w:val="00B24904"/>
    <w:rsid w:val="00B24CBA"/>
    <w:rsid w:val="00B2666F"/>
    <w:rsid w:val="00B26F93"/>
    <w:rsid w:val="00B27BFC"/>
    <w:rsid w:val="00B306A5"/>
    <w:rsid w:val="00B3096E"/>
    <w:rsid w:val="00B3205D"/>
    <w:rsid w:val="00B32A73"/>
    <w:rsid w:val="00B3611A"/>
    <w:rsid w:val="00B36FA1"/>
    <w:rsid w:val="00B37511"/>
    <w:rsid w:val="00B41E94"/>
    <w:rsid w:val="00B451AE"/>
    <w:rsid w:val="00B52973"/>
    <w:rsid w:val="00B52EB1"/>
    <w:rsid w:val="00B5455D"/>
    <w:rsid w:val="00B56B51"/>
    <w:rsid w:val="00B6121E"/>
    <w:rsid w:val="00B61A5C"/>
    <w:rsid w:val="00B62B2E"/>
    <w:rsid w:val="00B637D3"/>
    <w:rsid w:val="00B65A10"/>
    <w:rsid w:val="00B66F4D"/>
    <w:rsid w:val="00B74786"/>
    <w:rsid w:val="00B757FD"/>
    <w:rsid w:val="00B770CF"/>
    <w:rsid w:val="00B80F65"/>
    <w:rsid w:val="00B82878"/>
    <w:rsid w:val="00B832AE"/>
    <w:rsid w:val="00B83B50"/>
    <w:rsid w:val="00B85C83"/>
    <w:rsid w:val="00B8797E"/>
    <w:rsid w:val="00B90965"/>
    <w:rsid w:val="00B92E82"/>
    <w:rsid w:val="00B93F30"/>
    <w:rsid w:val="00B93F8F"/>
    <w:rsid w:val="00B94B25"/>
    <w:rsid w:val="00B958A6"/>
    <w:rsid w:val="00B96FBF"/>
    <w:rsid w:val="00B97415"/>
    <w:rsid w:val="00BA1537"/>
    <w:rsid w:val="00BA2636"/>
    <w:rsid w:val="00BA6755"/>
    <w:rsid w:val="00BB1FC5"/>
    <w:rsid w:val="00BB349D"/>
    <w:rsid w:val="00BB473E"/>
    <w:rsid w:val="00BB5110"/>
    <w:rsid w:val="00BB514E"/>
    <w:rsid w:val="00BB6168"/>
    <w:rsid w:val="00BC0793"/>
    <w:rsid w:val="00BC092A"/>
    <w:rsid w:val="00BC2E11"/>
    <w:rsid w:val="00BC33F8"/>
    <w:rsid w:val="00BC61FC"/>
    <w:rsid w:val="00BD30B2"/>
    <w:rsid w:val="00BD32C3"/>
    <w:rsid w:val="00BD3F58"/>
    <w:rsid w:val="00BD583E"/>
    <w:rsid w:val="00BE0ADB"/>
    <w:rsid w:val="00BE0EB9"/>
    <w:rsid w:val="00BE10C7"/>
    <w:rsid w:val="00BE18EC"/>
    <w:rsid w:val="00BE6469"/>
    <w:rsid w:val="00BE7A85"/>
    <w:rsid w:val="00BE7D4C"/>
    <w:rsid w:val="00BF1568"/>
    <w:rsid w:val="00BF1FEC"/>
    <w:rsid w:val="00BF321E"/>
    <w:rsid w:val="00BF4E44"/>
    <w:rsid w:val="00BF602D"/>
    <w:rsid w:val="00BF7B4F"/>
    <w:rsid w:val="00C00218"/>
    <w:rsid w:val="00C01305"/>
    <w:rsid w:val="00C01849"/>
    <w:rsid w:val="00C0532A"/>
    <w:rsid w:val="00C05F9F"/>
    <w:rsid w:val="00C06CF0"/>
    <w:rsid w:val="00C07D01"/>
    <w:rsid w:val="00C11FEA"/>
    <w:rsid w:val="00C124C6"/>
    <w:rsid w:val="00C1340D"/>
    <w:rsid w:val="00C14AF9"/>
    <w:rsid w:val="00C152AD"/>
    <w:rsid w:val="00C221B1"/>
    <w:rsid w:val="00C232C0"/>
    <w:rsid w:val="00C236E0"/>
    <w:rsid w:val="00C23CA1"/>
    <w:rsid w:val="00C23F3D"/>
    <w:rsid w:val="00C258E4"/>
    <w:rsid w:val="00C25FEE"/>
    <w:rsid w:val="00C31793"/>
    <w:rsid w:val="00C32AC9"/>
    <w:rsid w:val="00C373FE"/>
    <w:rsid w:val="00C431EE"/>
    <w:rsid w:val="00C45730"/>
    <w:rsid w:val="00C45A45"/>
    <w:rsid w:val="00C47CCD"/>
    <w:rsid w:val="00C50174"/>
    <w:rsid w:val="00C504B1"/>
    <w:rsid w:val="00C5213B"/>
    <w:rsid w:val="00C52AF1"/>
    <w:rsid w:val="00C53638"/>
    <w:rsid w:val="00C541C4"/>
    <w:rsid w:val="00C54255"/>
    <w:rsid w:val="00C55BA4"/>
    <w:rsid w:val="00C57E9A"/>
    <w:rsid w:val="00C62E0E"/>
    <w:rsid w:val="00C64ACC"/>
    <w:rsid w:val="00C6573A"/>
    <w:rsid w:val="00C66CC4"/>
    <w:rsid w:val="00C70D7F"/>
    <w:rsid w:val="00C715CB"/>
    <w:rsid w:val="00C7209A"/>
    <w:rsid w:val="00C721BC"/>
    <w:rsid w:val="00C77BDE"/>
    <w:rsid w:val="00C77C78"/>
    <w:rsid w:val="00C804DA"/>
    <w:rsid w:val="00C80FCB"/>
    <w:rsid w:val="00C814C8"/>
    <w:rsid w:val="00C819D0"/>
    <w:rsid w:val="00C81B6C"/>
    <w:rsid w:val="00C8206B"/>
    <w:rsid w:val="00C86511"/>
    <w:rsid w:val="00C874D2"/>
    <w:rsid w:val="00C9168E"/>
    <w:rsid w:val="00C937F4"/>
    <w:rsid w:val="00C93855"/>
    <w:rsid w:val="00C94ADE"/>
    <w:rsid w:val="00C96464"/>
    <w:rsid w:val="00CA3A2F"/>
    <w:rsid w:val="00CA464D"/>
    <w:rsid w:val="00CA538C"/>
    <w:rsid w:val="00CA54B4"/>
    <w:rsid w:val="00CA70EC"/>
    <w:rsid w:val="00CB275A"/>
    <w:rsid w:val="00CB2FA0"/>
    <w:rsid w:val="00CB5825"/>
    <w:rsid w:val="00CB5C91"/>
    <w:rsid w:val="00CB6330"/>
    <w:rsid w:val="00CC0829"/>
    <w:rsid w:val="00CC1B4D"/>
    <w:rsid w:val="00CC2405"/>
    <w:rsid w:val="00CC28F1"/>
    <w:rsid w:val="00CC7174"/>
    <w:rsid w:val="00CC7B2B"/>
    <w:rsid w:val="00CD024A"/>
    <w:rsid w:val="00CD0F34"/>
    <w:rsid w:val="00CD145E"/>
    <w:rsid w:val="00CD2D10"/>
    <w:rsid w:val="00CD43A6"/>
    <w:rsid w:val="00CD4785"/>
    <w:rsid w:val="00CE091A"/>
    <w:rsid w:val="00CE0E7A"/>
    <w:rsid w:val="00CE10A1"/>
    <w:rsid w:val="00CE19F7"/>
    <w:rsid w:val="00CE1AE4"/>
    <w:rsid w:val="00CE2A1C"/>
    <w:rsid w:val="00CE4940"/>
    <w:rsid w:val="00CE70BE"/>
    <w:rsid w:val="00CF01EB"/>
    <w:rsid w:val="00CF1A7E"/>
    <w:rsid w:val="00CF1BC0"/>
    <w:rsid w:val="00CF28B7"/>
    <w:rsid w:val="00CF39CC"/>
    <w:rsid w:val="00CF3B0F"/>
    <w:rsid w:val="00CF422F"/>
    <w:rsid w:val="00CF48F7"/>
    <w:rsid w:val="00CF5340"/>
    <w:rsid w:val="00CF64E5"/>
    <w:rsid w:val="00CF7633"/>
    <w:rsid w:val="00CF7FB7"/>
    <w:rsid w:val="00D02E83"/>
    <w:rsid w:val="00D055F1"/>
    <w:rsid w:val="00D05F55"/>
    <w:rsid w:val="00D062B4"/>
    <w:rsid w:val="00D1289B"/>
    <w:rsid w:val="00D12CA8"/>
    <w:rsid w:val="00D13D95"/>
    <w:rsid w:val="00D1653A"/>
    <w:rsid w:val="00D17DF2"/>
    <w:rsid w:val="00D21550"/>
    <w:rsid w:val="00D222AD"/>
    <w:rsid w:val="00D227A9"/>
    <w:rsid w:val="00D22B5B"/>
    <w:rsid w:val="00D22C3A"/>
    <w:rsid w:val="00D22E1E"/>
    <w:rsid w:val="00D24178"/>
    <w:rsid w:val="00D24A1C"/>
    <w:rsid w:val="00D2504A"/>
    <w:rsid w:val="00D250E6"/>
    <w:rsid w:val="00D31166"/>
    <w:rsid w:val="00D32ECC"/>
    <w:rsid w:val="00D4012B"/>
    <w:rsid w:val="00D4065E"/>
    <w:rsid w:val="00D427F0"/>
    <w:rsid w:val="00D43C23"/>
    <w:rsid w:val="00D4756A"/>
    <w:rsid w:val="00D525A8"/>
    <w:rsid w:val="00D52ACF"/>
    <w:rsid w:val="00D53787"/>
    <w:rsid w:val="00D539AF"/>
    <w:rsid w:val="00D5468C"/>
    <w:rsid w:val="00D558C8"/>
    <w:rsid w:val="00D56DA9"/>
    <w:rsid w:val="00D624EC"/>
    <w:rsid w:val="00D625D4"/>
    <w:rsid w:val="00D64261"/>
    <w:rsid w:val="00D6520A"/>
    <w:rsid w:val="00D66692"/>
    <w:rsid w:val="00D70AE3"/>
    <w:rsid w:val="00D713E4"/>
    <w:rsid w:val="00D73B65"/>
    <w:rsid w:val="00D73B8E"/>
    <w:rsid w:val="00D73D41"/>
    <w:rsid w:val="00D751EB"/>
    <w:rsid w:val="00D75A89"/>
    <w:rsid w:val="00D77608"/>
    <w:rsid w:val="00D778AD"/>
    <w:rsid w:val="00D807CB"/>
    <w:rsid w:val="00D82A79"/>
    <w:rsid w:val="00D84033"/>
    <w:rsid w:val="00D8426C"/>
    <w:rsid w:val="00D90392"/>
    <w:rsid w:val="00D914A3"/>
    <w:rsid w:val="00D92A92"/>
    <w:rsid w:val="00D946C1"/>
    <w:rsid w:val="00D9548A"/>
    <w:rsid w:val="00DA179D"/>
    <w:rsid w:val="00DA1E4B"/>
    <w:rsid w:val="00DA2D13"/>
    <w:rsid w:val="00DA4517"/>
    <w:rsid w:val="00DA514C"/>
    <w:rsid w:val="00DA52A7"/>
    <w:rsid w:val="00DA6CE0"/>
    <w:rsid w:val="00DA6E1F"/>
    <w:rsid w:val="00DA7759"/>
    <w:rsid w:val="00DA7F13"/>
    <w:rsid w:val="00DB0ED0"/>
    <w:rsid w:val="00DB1636"/>
    <w:rsid w:val="00DB21ED"/>
    <w:rsid w:val="00DB40AC"/>
    <w:rsid w:val="00DB4349"/>
    <w:rsid w:val="00DB6C33"/>
    <w:rsid w:val="00DB75FF"/>
    <w:rsid w:val="00DC2AAE"/>
    <w:rsid w:val="00DC2CB7"/>
    <w:rsid w:val="00DC3888"/>
    <w:rsid w:val="00DC440B"/>
    <w:rsid w:val="00DC4A24"/>
    <w:rsid w:val="00DC7F92"/>
    <w:rsid w:val="00DD10A4"/>
    <w:rsid w:val="00DD268D"/>
    <w:rsid w:val="00DD33B8"/>
    <w:rsid w:val="00DD3E4C"/>
    <w:rsid w:val="00DD502C"/>
    <w:rsid w:val="00DD5FC4"/>
    <w:rsid w:val="00DD7120"/>
    <w:rsid w:val="00DD7C63"/>
    <w:rsid w:val="00DE0C52"/>
    <w:rsid w:val="00DE5A20"/>
    <w:rsid w:val="00DE691C"/>
    <w:rsid w:val="00DF0811"/>
    <w:rsid w:val="00DF0FE2"/>
    <w:rsid w:val="00DF38BD"/>
    <w:rsid w:val="00DF51EC"/>
    <w:rsid w:val="00DF6E6A"/>
    <w:rsid w:val="00DF783F"/>
    <w:rsid w:val="00DF7BE7"/>
    <w:rsid w:val="00E00EE7"/>
    <w:rsid w:val="00E01097"/>
    <w:rsid w:val="00E014CB"/>
    <w:rsid w:val="00E1004D"/>
    <w:rsid w:val="00E104D3"/>
    <w:rsid w:val="00E125E4"/>
    <w:rsid w:val="00E12963"/>
    <w:rsid w:val="00E13FF8"/>
    <w:rsid w:val="00E1428A"/>
    <w:rsid w:val="00E145C4"/>
    <w:rsid w:val="00E14BB3"/>
    <w:rsid w:val="00E169AA"/>
    <w:rsid w:val="00E16D8E"/>
    <w:rsid w:val="00E20C0F"/>
    <w:rsid w:val="00E2458B"/>
    <w:rsid w:val="00E2468A"/>
    <w:rsid w:val="00E32DAA"/>
    <w:rsid w:val="00E32FDC"/>
    <w:rsid w:val="00E36E4C"/>
    <w:rsid w:val="00E3769D"/>
    <w:rsid w:val="00E4022E"/>
    <w:rsid w:val="00E41982"/>
    <w:rsid w:val="00E4488A"/>
    <w:rsid w:val="00E471AE"/>
    <w:rsid w:val="00E54EAF"/>
    <w:rsid w:val="00E558E4"/>
    <w:rsid w:val="00E563E8"/>
    <w:rsid w:val="00E56549"/>
    <w:rsid w:val="00E56680"/>
    <w:rsid w:val="00E576D2"/>
    <w:rsid w:val="00E576D8"/>
    <w:rsid w:val="00E6022B"/>
    <w:rsid w:val="00E60504"/>
    <w:rsid w:val="00E62DEE"/>
    <w:rsid w:val="00E62F39"/>
    <w:rsid w:val="00E63751"/>
    <w:rsid w:val="00E647C0"/>
    <w:rsid w:val="00E648C4"/>
    <w:rsid w:val="00E71C76"/>
    <w:rsid w:val="00E723A2"/>
    <w:rsid w:val="00E73C28"/>
    <w:rsid w:val="00E74DF7"/>
    <w:rsid w:val="00E75A3D"/>
    <w:rsid w:val="00E762C6"/>
    <w:rsid w:val="00E7766F"/>
    <w:rsid w:val="00E77ABB"/>
    <w:rsid w:val="00E824DD"/>
    <w:rsid w:val="00E82EA8"/>
    <w:rsid w:val="00E83912"/>
    <w:rsid w:val="00E86AAD"/>
    <w:rsid w:val="00E903DB"/>
    <w:rsid w:val="00E90EAE"/>
    <w:rsid w:val="00E9196B"/>
    <w:rsid w:val="00E943BD"/>
    <w:rsid w:val="00EA186E"/>
    <w:rsid w:val="00EA5F8F"/>
    <w:rsid w:val="00EA6423"/>
    <w:rsid w:val="00EB214B"/>
    <w:rsid w:val="00EB30B4"/>
    <w:rsid w:val="00EB6AC4"/>
    <w:rsid w:val="00EB7428"/>
    <w:rsid w:val="00EC0025"/>
    <w:rsid w:val="00EC1380"/>
    <w:rsid w:val="00EC1463"/>
    <w:rsid w:val="00EC3E6A"/>
    <w:rsid w:val="00EC456D"/>
    <w:rsid w:val="00EC5027"/>
    <w:rsid w:val="00EC5E32"/>
    <w:rsid w:val="00EC7ADC"/>
    <w:rsid w:val="00ED1887"/>
    <w:rsid w:val="00ED2D8B"/>
    <w:rsid w:val="00ED3981"/>
    <w:rsid w:val="00ED40B7"/>
    <w:rsid w:val="00ED42A7"/>
    <w:rsid w:val="00ED51FC"/>
    <w:rsid w:val="00ED7F7F"/>
    <w:rsid w:val="00EE0626"/>
    <w:rsid w:val="00EE120F"/>
    <w:rsid w:val="00EF0C73"/>
    <w:rsid w:val="00EF36CB"/>
    <w:rsid w:val="00EF5129"/>
    <w:rsid w:val="00EF56B2"/>
    <w:rsid w:val="00EF5F2E"/>
    <w:rsid w:val="00F010A9"/>
    <w:rsid w:val="00F0347B"/>
    <w:rsid w:val="00F10C43"/>
    <w:rsid w:val="00F119E2"/>
    <w:rsid w:val="00F11AA2"/>
    <w:rsid w:val="00F13393"/>
    <w:rsid w:val="00F144F4"/>
    <w:rsid w:val="00F156AC"/>
    <w:rsid w:val="00F219BB"/>
    <w:rsid w:val="00F228FA"/>
    <w:rsid w:val="00F22B53"/>
    <w:rsid w:val="00F23945"/>
    <w:rsid w:val="00F23BCE"/>
    <w:rsid w:val="00F256A3"/>
    <w:rsid w:val="00F2598F"/>
    <w:rsid w:val="00F31901"/>
    <w:rsid w:val="00F31CA9"/>
    <w:rsid w:val="00F3278E"/>
    <w:rsid w:val="00F33C00"/>
    <w:rsid w:val="00F35D88"/>
    <w:rsid w:val="00F37431"/>
    <w:rsid w:val="00F417A3"/>
    <w:rsid w:val="00F430ED"/>
    <w:rsid w:val="00F444FD"/>
    <w:rsid w:val="00F45AAC"/>
    <w:rsid w:val="00F46624"/>
    <w:rsid w:val="00F46D96"/>
    <w:rsid w:val="00F47B40"/>
    <w:rsid w:val="00F5715D"/>
    <w:rsid w:val="00F57252"/>
    <w:rsid w:val="00F57454"/>
    <w:rsid w:val="00F57A80"/>
    <w:rsid w:val="00F57D61"/>
    <w:rsid w:val="00F61B11"/>
    <w:rsid w:val="00F63315"/>
    <w:rsid w:val="00F63D61"/>
    <w:rsid w:val="00F653FE"/>
    <w:rsid w:val="00F703F7"/>
    <w:rsid w:val="00F721EB"/>
    <w:rsid w:val="00F723C9"/>
    <w:rsid w:val="00F72AD8"/>
    <w:rsid w:val="00F72B7B"/>
    <w:rsid w:val="00F73710"/>
    <w:rsid w:val="00F74EFD"/>
    <w:rsid w:val="00F75858"/>
    <w:rsid w:val="00F769D3"/>
    <w:rsid w:val="00F80519"/>
    <w:rsid w:val="00F83B5F"/>
    <w:rsid w:val="00F83BB4"/>
    <w:rsid w:val="00F8504B"/>
    <w:rsid w:val="00F860B3"/>
    <w:rsid w:val="00F87A76"/>
    <w:rsid w:val="00F90137"/>
    <w:rsid w:val="00F90ADA"/>
    <w:rsid w:val="00F952C8"/>
    <w:rsid w:val="00F96829"/>
    <w:rsid w:val="00F97D82"/>
    <w:rsid w:val="00FA18CD"/>
    <w:rsid w:val="00FA1A57"/>
    <w:rsid w:val="00FA2089"/>
    <w:rsid w:val="00FA2380"/>
    <w:rsid w:val="00FA3B97"/>
    <w:rsid w:val="00FA3F21"/>
    <w:rsid w:val="00FA4839"/>
    <w:rsid w:val="00FA6901"/>
    <w:rsid w:val="00FA6BAD"/>
    <w:rsid w:val="00FB19CA"/>
    <w:rsid w:val="00FB2FF5"/>
    <w:rsid w:val="00FB3E9E"/>
    <w:rsid w:val="00FB52C1"/>
    <w:rsid w:val="00FB5756"/>
    <w:rsid w:val="00FB6CBF"/>
    <w:rsid w:val="00FB6FA7"/>
    <w:rsid w:val="00FC1608"/>
    <w:rsid w:val="00FC2BEC"/>
    <w:rsid w:val="00FC2C5F"/>
    <w:rsid w:val="00FC3FE6"/>
    <w:rsid w:val="00FC5786"/>
    <w:rsid w:val="00FC5DA4"/>
    <w:rsid w:val="00FC7178"/>
    <w:rsid w:val="00FC7BC3"/>
    <w:rsid w:val="00FD0A9E"/>
    <w:rsid w:val="00FD1368"/>
    <w:rsid w:val="00FD4174"/>
    <w:rsid w:val="00FD438B"/>
    <w:rsid w:val="00FE07B4"/>
    <w:rsid w:val="00FE1979"/>
    <w:rsid w:val="00FE1F09"/>
    <w:rsid w:val="00FE39FA"/>
    <w:rsid w:val="00FE43F1"/>
    <w:rsid w:val="00FE44E3"/>
    <w:rsid w:val="00FF038A"/>
    <w:rsid w:val="00FF1B9C"/>
    <w:rsid w:val="00FF1EB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FEFB14-5C4F-4C64-B140-99158EC4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qFormat/>
    <w:rsid w:val="00F87A76"/>
    <w:pPr>
      <w:spacing w:before="240"/>
      <w:outlineLvl w:val="0"/>
    </w:pPr>
    <w:rPr>
      <w:rFonts w:ascii="Arial" w:hAnsi="Arial"/>
      <w:b/>
      <w:u w:val="single"/>
    </w:rPr>
  </w:style>
  <w:style w:type="paragraph" w:styleId="Heading2">
    <w:name w:val="heading 2"/>
    <w:basedOn w:val="Normal"/>
    <w:next w:val="Normal"/>
    <w:link w:val="Heading2Char"/>
    <w:qFormat/>
    <w:rsid w:val="00F87A76"/>
    <w:pPr>
      <w:spacing w:before="120"/>
      <w:outlineLvl w:val="1"/>
    </w:pPr>
    <w:rPr>
      <w:rFonts w:ascii="Arial" w:hAnsi="Arial" w:cstheme="majorBidi"/>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4256BE"/>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1articletype">
    <w:name w:val="M_deck_1_article_type"/>
    <w:basedOn w:val="Mdeck4text"/>
    <w:next w:val="Mdeck1articletitle"/>
    <w:qFormat/>
    <w:rsid w:val="004256BE"/>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4256BE"/>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4256BE"/>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2authorname">
    <w:name w:val="M_deck_2_author_name"/>
    <w:next w:val="Mdeck3publcationhistory"/>
    <w:qFormat/>
    <w:rsid w:val="004256BE"/>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abstract">
    <w:name w:val="M_deck_3_abstract"/>
    <w:basedOn w:val="Mdeck4text"/>
    <w:next w:val="Mdeck3keywords"/>
    <w:qFormat/>
    <w:rsid w:val="004256BE"/>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4256BE"/>
    <w:pPr>
      <w:spacing w:before="240"/>
      <w:ind w:left="113" w:firstLine="0"/>
    </w:pPr>
  </w:style>
  <w:style w:type="paragraph" w:customStyle="1" w:styleId="Mdeck3publcationhistory">
    <w:name w:val="M_deck_3_publcation_history"/>
    <w:next w:val="Normal"/>
    <w:qFormat/>
    <w:rsid w:val="004256BE"/>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4heading1">
    <w:name w:val="M_deck_4_heading_1"/>
    <w:basedOn w:val="MHeading3"/>
    <w:next w:val="Normal"/>
    <w:qFormat/>
    <w:rsid w:val="004256BE"/>
    <w:pPr>
      <w:spacing w:line="340" w:lineRule="atLeast"/>
      <w:outlineLvl w:val="0"/>
    </w:pPr>
    <w:rPr>
      <w:b/>
      <w:snapToGrid/>
    </w:rPr>
  </w:style>
  <w:style w:type="paragraph" w:customStyle="1" w:styleId="Mdeck4heading2">
    <w:name w:val="M_deck_4_heading_2"/>
    <w:basedOn w:val="MHeading3"/>
    <w:next w:val="Normal"/>
    <w:qFormat/>
    <w:rsid w:val="004256BE"/>
    <w:pPr>
      <w:outlineLvl w:val="1"/>
    </w:pPr>
    <w:rPr>
      <w:i/>
      <w:snapToGrid/>
    </w:rPr>
  </w:style>
  <w:style w:type="paragraph" w:customStyle="1" w:styleId="Mdeck4heading3">
    <w:name w:val="M_deck_4_heading_3"/>
    <w:basedOn w:val="Mdeck4text"/>
    <w:next w:val="Normal"/>
    <w:qFormat/>
    <w:rsid w:val="004256BE"/>
    <w:pPr>
      <w:spacing w:before="240" w:after="120" w:line="340" w:lineRule="atLeast"/>
      <w:ind w:firstLineChars="50" w:firstLine="50"/>
      <w:outlineLvl w:val="2"/>
    </w:pPr>
    <w:rPr>
      <w:snapToGrid/>
    </w:rPr>
  </w:style>
  <w:style w:type="paragraph" w:customStyle="1" w:styleId="Mdeck4text">
    <w:name w:val="M_deck_4_text"/>
    <w:qFormat/>
    <w:rsid w:val="004256BE"/>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4textbulletlist">
    <w:name w:val="M_deck_4_text_bullet_list"/>
    <w:basedOn w:val="Mdeck4text"/>
    <w:qFormat/>
    <w:rsid w:val="004256BE"/>
    <w:pPr>
      <w:numPr>
        <w:numId w:val="46"/>
      </w:numPr>
      <w:spacing w:before="120" w:after="120" w:line="340" w:lineRule="atLeast"/>
    </w:pPr>
    <w:rPr>
      <w:snapToGrid/>
    </w:rPr>
  </w:style>
  <w:style w:type="paragraph" w:customStyle="1" w:styleId="Mdeck4textfirstlinezero">
    <w:name w:val="M_deck_4_text_firstline_zero"/>
    <w:basedOn w:val="Mdeck4text"/>
    <w:next w:val="Mdeck4text"/>
    <w:qFormat/>
    <w:rsid w:val="004256BE"/>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4256BE"/>
    <w:rPr>
      <w:i/>
    </w:rPr>
  </w:style>
  <w:style w:type="paragraph" w:customStyle="1" w:styleId="Mdeck4textlrindent">
    <w:name w:val="M_deck_4_text_lr_indent"/>
    <w:basedOn w:val="Mdeck4text"/>
    <w:qFormat/>
    <w:rsid w:val="004256BE"/>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4256BE"/>
    <w:pPr>
      <w:numPr>
        <w:numId w:val="47"/>
      </w:numPr>
      <w:spacing w:before="120" w:after="120" w:line="340" w:lineRule="atLeast"/>
    </w:pPr>
    <w:rPr>
      <w:snapToGrid/>
    </w:rPr>
  </w:style>
  <w:style w:type="paragraph" w:customStyle="1" w:styleId="Mdeck5tablebody">
    <w:name w:val="M_deck_5_table_body"/>
    <w:qFormat/>
    <w:rsid w:val="004256BE"/>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4256BE"/>
    <w:pPr>
      <w:adjustRightInd w:val="0"/>
      <w:snapToGrid w:val="0"/>
      <w:spacing w:line="300" w:lineRule="exact"/>
      <w:jc w:val="center"/>
    </w:pPr>
    <w:rPr>
      <w:rFonts w:eastAsiaTheme="minorEastAsia" w:cs="Times New Roman"/>
      <w:kern w:val="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4256BE"/>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4256BE"/>
    <w:pPr>
      <w:spacing w:line="300" w:lineRule="exact"/>
    </w:pPr>
  </w:style>
  <w:style w:type="paragraph" w:customStyle="1" w:styleId="Mdeck5tableheader">
    <w:name w:val="M_deck_5_table_header"/>
    <w:basedOn w:val="Mdeck5tablefooter"/>
    <w:rsid w:val="004256BE"/>
  </w:style>
  <w:style w:type="paragraph" w:customStyle="1" w:styleId="Mdeck6figurebody">
    <w:name w:val="M_deck_6_figure_body"/>
    <w:qFormat/>
    <w:rsid w:val="004256BE"/>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4256BE"/>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4256BE"/>
    <w:pPr>
      <w:spacing w:before="120" w:after="120"/>
      <w:ind w:left="709" w:firstLine="0"/>
      <w:jc w:val="center"/>
    </w:pPr>
    <w:rPr>
      <w:i/>
      <w:snapToGrid/>
      <w:szCs w:val="24"/>
      <w:lang w:eastAsia="en-US"/>
    </w:rPr>
  </w:style>
  <w:style w:type="paragraph" w:customStyle="1" w:styleId="Mdeck8references">
    <w:name w:val="M_deck_8_references"/>
    <w:qFormat/>
    <w:rsid w:val="004256BE"/>
    <w:pPr>
      <w:numPr>
        <w:numId w:val="48"/>
      </w:numPr>
      <w:kinsoku w:val="0"/>
      <w:overflowPunct w:val="0"/>
      <w:autoSpaceDE w:val="0"/>
      <w:autoSpaceDN w:val="0"/>
      <w:adjustRightInd w:val="0"/>
      <w:snapToGrid w:val="0"/>
      <w:spacing w:line="260" w:lineRule="atLeast"/>
      <w:jc w:val="both"/>
    </w:pPr>
    <w:rPr>
      <w:rFonts w:eastAsia="Times New Roman"/>
      <w:snapToGrid w:val="0"/>
      <w:color w:val="000000"/>
      <w:kern w:val="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basedOn w:val="DefaultParagraphFont"/>
    <w:link w:val="Heading2"/>
    <w:rsid w:val="00F87A76"/>
    <w:rPr>
      <w:rFonts w:ascii="Arial" w:eastAsia="Times New Roman" w:hAnsi="Arial" w:cstheme="majorBidi"/>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basedOn w:val="DefaultParagraphFont"/>
    <w:link w:val="Heading1"/>
    <w:rsid w:val="00F87A76"/>
    <w:rPr>
      <w:rFonts w:ascii="Arial" w:eastAsia="Times New Roman" w:hAnsi="Arial" w:cs="Times New Roman"/>
      <w:b/>
      <w:color w:val="000000"/>
      <w:kern w:val="0"/>
      <w:sz w:val="24"/>
      <w:u w:val="single"/>
      <w:lang w:eastAsia="de-DE"/>
    </w:rPr>
  </w:style>
  <w:style w:type="character" w:customStyle="1" w:styleId="Heading3Char">
    <w:name w:val="Heading 3 Char"/>
    <w:basedOn w:val="DefaultParagraphFont"/>
    <w:link w:val="Heading3"/>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rsid w:val="00F87A76"/>
  </w:style>
  <w:style w:type="character" w:customStyle="1" w:styleId="CommentTextChar">
    <w:name w:val="Comment Text Char"/>
    <w:basedOn w:val="DefaultParagraphFont"/>
    <w:link w:val="CommentText"/>
    <w:rsid w:val="00F87A76"/>
    <w:rPr>
      <w:rFonts w:eastAsia="Times New Roman" w:cs="Times New Roman"/>
      <w:color w:val="000000"/>
      <w:kern w:val="0"/>
      <w:sz w:val="24"/>
      <w:lang w:eastAsia="de-DE"/>
    </w:rPr>
  </w:style>
  <w:style w:type="character" w:styleId="CommentReference">
    <w:name w:val="annotation reference"/>
    <w:basedOn w:val="DefaultParagraphFont"/>
    <w:rsid w:val="00F87A76"/>
    <w:rPr>
      <w:sz w:val="21"/>
      <w:szCs w:val="21"/>
    </w:rPr>
  </w:style>
  <w:style w:type="paragraph" w:styleId="CommentSubject">
    <w:name w:val="annotation subject"/>
    <w:basedOn w:val="CommentText"/>
    <w:next w:val="CommentText"/>
    <w:link w:val="CommentSubjectChar"/>
    <w:rsid w:val="00F87A76"/>
    <w:rPr>
      <w:b/>
      <w:bCs/>
    </w:rPr>
  </w:style>
  <w:style w:type="character" w:customStyle="1" w:styleId="CommentSubjectChar">
    <w:name w:val="Comment Subject Char"/>
    <w:basedOn w:val="CommentTextChar"/>
    <w:link w:val="CommentSubject"/>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rPr>
      <w:rFonts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rsid w:val="00F87A76"/>
    <w:rPr>
      <w:rFonts w:cs="Times New Roman"/>
      <w:color w:val="000000"/>
      <w:kern w:val="0"/>
      <w:sz w:val="24"/>
      <w:lang w:eastAsia="de-DE"/>
    </w:rPr>
  </w:style>
  <w:style w:type="paragraph" w:customStyle="1" w:styleId="Mdeck4text2nd">
    <w:name w:val="M_deck_4_text_2nd"/>
    <w:qFormat/>
    <w:rsid w:val="004256BE"/>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30"/>
      </w:numPr>
      <w:ind w:left="425" w:hanging="425"/>
    </w:pPr>
  </w:style>
  <w:style w:type="paragraph" w:customStyle="1" w:styleId="MDPI38bullet">
    <w:name w:val="MDPI_3.8_bullet"/>
    <w:basedOn w:val="MDPI31text"/>
    <w:qFormat/>
    <w:rsid w:val="00B83B50"/>
    <w:pPr>
      <w:numPr>
        <w:numId w:val="31"/>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宋体"/>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paragraph" w:customStyle="1" w:styleId="Corpo">
    <w:name w:val="Corpo"/>
    <w:rsid w:val="00CA3A2F"/>
    <w:pPr>
      <w:suppressAutoHyphens/>
    </w:pPr>
    <w:rPr>
      <w:rFonts w:ascii="Helvetica" w:eastAsia="?????? Pro W3" w:hAnsi="Helvetica" w:cs="Times New Roman"/>
      <w:color w:val="000000"/>
      <w:kern w:val="0"/>
      <w:sz w:val="24"/>
      <w:lang w:val="it-IT" w:eastAsia="ar-SA"/>
    </w:rPr>
  </w:style>
  <w:style w:type="paragraph" w:customStyle="1" w:styleId="CorpoA">
    <w:name w:val="Corpo A"/>
    <w:rsid w:val="00CA3A2F"/>
    <w:pPr>
      <w:suppressAutoHyphens/>
    </w:pPr>
    <w:rPr>
      <w:rFonts w:ascii="Helvetica" w:eastAsia="?????? Pro W3" w:hAnsi="Helvetica" w:cs="Times New Roman"/>
      <w:color w:val="000000"/>
      <w:kern w:val="0"/>
      <w:sz w:val="24"/>
      <w:lang w:val="it-IT" w:eastAsia="ar-SA"/>
    </w:rPr>
  </w:style>
  <w:style w:type="character" w:customStyle="1" w:styleId="st">
    <w:name w:val="st"/>
    <w:basedOn w:val="DefaultParagraphFont"/>
    <w:rsid w:val="00CF4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5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nutrients-170659\nutrients-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DA132-2DE3-4FC7-92EE-728807147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nutrients-template</Template>
  <TotalTime>4</TotalTime>
  <Pages>2</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vt:lpstr>
    </vt:vector>
  </TitlesOfParts>
  <Company>Toshiba</Company>
  <LinksUpToDate>false</LinksUpToDate>
  <CharactersWithSpaces>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MDPI</dc:creator>
  <cp:lastModifiedBy>tmp248</cp:lastModifiedBy>
  <cp:revision>3</cp:revision>
  <dcterms:created xsi:type="dcterms:W3CDTF">2017-01-24T16:45:00Z</dcterms:created>
  <dcterms:modified xsi:type="dcterms:W3CDTF">2017-01-25T08:55:00Z</dcterms:modified>
</cp:coreProperties>
</file>