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5AE" w:rsidRPr="008773DB" w:rsidRDefault="004455AE" w:rsidP="004455AE">
      <w:pPr>
        <w:jc w:val="left"/>
        <w:rPr>
          <w:rFonts w:ascii="Palatino Linotype" w:hAnsi="Palatino Linotype" w:cs="Times New Roman"/>
          <w:b/>
          <w:sz w:val="24"/>
        </w:rPr>
      </w:pPr>
      <w:r w:rsidRPr="008773DB">
        <w:rPr>
          <w:rFonts w:ascii="Palatino Linotype" w:hAnsi="Palatino Linotype" w:cs="Times New Roman"/>
          <w:b/>
          <w:sz w:val="24"/>
        </w:rPr>
        <w:t>Supporting Information</w:t>
      </w:r>
    </w:p>
    <w:p w:rsidR="004455AE" w:rsidRDefault="004455AE" w:rsidP="004455AE">
      <w:pPr>
        <w:rPr>
          <w:rFonts w:ascii="Times New Roman" w:hAnsi="Times New Roman" w:cs="Times New Roman"/>
        </w:rPr>
      </w:pPr>
    </w:p>
    <w:p w:rsidR="008773DB" w:rsidRPr="00BA1097" w:rsidRDefault="008773DB" w:rsidP="008773DB">
      <w:pPr>
        <w:pStyle w:val="MDPI12title"/>
        <w:spacing w:line="240" w:lineRule="atLeast"/>
      </w:pPr>
      <w:r w:rsidRPr="00BA1097">
        <w:t xml:space="preserve">Evaluating Performance and Elucidating the Mechanisms of Collaborative Development </w:t>
      </w:r>
      <w:r>
        <w:t>within the</w:t>
      </w:r>
      <w:r w:rsidRPr="00BA1097">
        <w:t xml:space="preserve"> Beijing–Tianjin–Hebei Region, China</w:t>
      </w:r>
    </w:p>
    <w:p w:rsidR="00736CEA" w:rsidRPr="00736CEA" w:rsidRDefault="00736CEA" w:rsidP="00736CEA">
      <w:pPr>
        <w:pStyle w:val="MDPI13authornames"/>
        <w:rPr>
          <w:color w:val="auto"/>
        </w:rPr>
      </w:pPr>
      <w:r w:rsidRPr="00736CEA">
        <w:rPr>
          <w:color w:val="auto"/>
        </w:rPr>
        <w:t xml:space="preserve">Chuanglin Fang </w:t>
      </w:r>
      <w:r w:rsidRPr="00736CEA">
        <w:rPr>
          <w:color w:val="auto"/>
          <w:vertAlign w:val="superscript"/>
        </w:rPr>
        <w:t>1,2</w:t>
      </w:r>
      <w:r w:rsidRPr="00736CEA">
        <w:rPr>
          <w:color w:val="auto"/>
        </w:rPr>
        <w:t xml:space="preserve">, Kui Luo </w:t>
      </w:r>
      <w:r w:rsidRPr="00736CEA">
        <w:rPr>
          <w:color w:val="auto"/>
          <w:vertAlign w:val="superscript"/>
        </w:rPr>
        <w:t>1,2,</w:t>
      </w:r>
      <w:r w:rsidRPr="00736CEA">
        <w:rPr>
          <w:color w:val="auto"/>
        </w:rPr>
        <w:t xml:space="preserve">*, Yunlong Kong </w:t>
      </w:r>
      <w:r w:rsidRPr="00736CEA">
        <w:rPr>
          <w:color w:val="auto"/>
          <w:vertAlign w:val="superscript"/>
        </w:rPr>
        <w:t>3</w:t>
      </w:r>
      <w:r w:rsidRPr="00736CEA">
        <w:rPr>
          <w:color w:val="auto"/>
        </w:rPr>
        <w:t xml:space="preserve">, Haoxi Lin </w:t>
      </w:r>
      <w:r w:rsidRPr="00736CEA">
        <w:rPr>
          <w:color w:val="auto"/>
          <w:vertAlign w:val="superscript"/>
        </w:rPr>
        <w:t>1,2</w:t>
      </w:r>
      <w:r w:rsidRPr="00736CEA">
        <w:rPr>
          <w:color w:val="auto"/>
        </w:rPr>
        <w:t xml:space="preserve"> and Yufei Ren </w:t>
      </w:r>
      <w:r w:rsidRPr="00736CEA">
        <w:rPr>
          <w:color w:val="auto"/>
          <w:vertAlign w:val="superscript"/>
        </w:rPr>
        <w:t>1,2</w:t>
      </w:r>
    </w:p>
    <w:p w:rsidR="00736CEA" w:rsidRPr="00736CEA" w:rsidRDefault="00736CEA" w:rsidP="00736CEA">
      <w:pPr>
        <w:pStyle w:val="MDPI16affiliation"/>
        <w:rPr>
          <w:color w:val="auto"/>
        </w:rPr>
      </w:pPr>
      <w:r w:rsidRPr="00736CEA">
        <w:rPr>
          <w:color w:val="auto"/>
          <w:vertAlign w:val="superscript"/>
        </w:rPr>
        <w:t>1</w:t>
      </w:r>
      <w:r w:rsidRPr="00736CEA">
        <w:rPr>
          <w:color w:val="auto"/>
        </w:rPr>
        <w:tab/>
        <w:t>Institute of Geographic Sciences and Natural Resources Research, Chinese Academy of Sciences, Beijing 100101, China; fangcl@igsnrr.ac.cn</w:t>
      </w:r>
      <w:r w:rsidRPr="00736CEA">
        <w:rPr>
          <w:rStyle w:val="a6"/>
          <w:color w:val="auto"/>
        </w:rPr>
        <w:t xml:space="preserve"> </w:t>
      </w:r>
      <w:r w:rsidRPr="00736CEA">
        <w:rPr>
          <w:color w:val="auto"/>
          <w:szCs w:val="20"/>
        </w:rPr>
        <w:t>(C.F.)</w:t>
      </w:r>
      <w:r w:rsidRPr="00736CEA">
        <w:rPr>
          <w:color w:val="auto"/>
        </w:rPr>
        <w:t>; linhx.14b@igsnrr.ac.cn</w:t>
      </w:r>
      <w:r w:rsidRPr="00736CEA">
        <w:rPr>
          <w:rStyle w:val="a6"/>
          <w:color w:val="auto"/>
        </w:rPr>
        <w:t xml:space="preserve"> </w:t>
      </w:r>
      <w:r w:rsidRPr="00736CEA">
        <w:rPr>
          <w:color w:val="auto"/>
          <w:szCs w:val="20"/>
        </w:rPr>
        <w:t>(H.L.)</w:t>
      </w:r>
      <w:r w:rsidRPr="00736CEA">
        <w:rPr>
          <w:color w:val="auto"/>
        </w:rPr>
        <w:t>; renyf.17b@igsnrr.ac.cn (Y.R.)</w:t>
      </w:r>
    </w:p>
    <w:p w:rsidR="00736CEA" w:rsidRPr="00736CEA" w:rsidRDefault="00736CEA" w:rsidP="00736CEA">
      <w:pPr>
        <w:pStyle w:val="MDPI16affiliation"/>
        <w:rPr>
          <w:color w:val="auto"/>
        </w:rPr>
      </w:pPr>
      <w:r w:rsidRPr="00736CEA">
        <w:rPr>
          <w:color w:val="auto"/>
          <w:vertAlign w:val="superscript"/>
        </w:rPr>
        <w:t>2</w:t>
      </w:r>
      <w:r w:rsidRPr="00736CEA">
        <w:rPr>
          <w:color w:val="auto"/>
        </w:rPr>
        <w:tab/>
        <w:t>College of Resources and Environment, University of Chinese Academy of Sciences, Beijing 100049, China</w:t>
      </w:r>
    </w:p>
    <w:p w:rsidR="00736CEA" w:rsidRPr="00736CEA" w:rsidRDefault="00736CEA" w:rsidP="00736CEA">
      <w:pPr>
        <w:pStyle w:val="MDPI16affiliation"/>
        <w:rPr>
          <w:color w:val="auto"/>
        </w:rPr>
      </w:pPr>
      <w:r w:rsidRPr="00736CEA">
        <w:rPr>
          <w:color w:val="auto"/>
          <w:vertAlign w:val="superscript"/>
        </w:rPr>
        <w:t>3</w:t>
      </w:r>
      <w:r w:rsidRPr="00736CEA">
        <w:rPr>
          <w:color w:val="auto"/>
        </w:rPr>
        <w:tab/>
        <w:t>Institute of Remote Sensing and Digital Earth, Chinese Academy of Sciences, Beijing 100101, China; kongyl@radi.ac.cn</w:t>
      </w:r>
    </w:p>
    <w:p w:rsidR="00736CEA" w:rsidRPr="00F12EC1" w:rsidRDefault="00736CEA" w:rsidP="00736CEA">
      <w:pPr>
        <w:pStyle w:val="Mdeck2authorcorrespondence"/>
        <w:rPr>
          <w:color w:val="auto"/>
          <w:sz w:val="18"/>
        </w:rPr>
      </w:pPr>
      <w:r w:rsidRPr="00736CEA">
        <w:rPr>
          <w:b/>
          <w:color w:val="auto"/>
          <w:sz w:val="18"/>
        </w:rPr>
        <w:t>*</w:t>
      </w:r>
      <w:r w:rsidRPr="00736CEA">
        <w:rPr>
          <w:color w:val="auto"/>
          <w:sz w:val="18"/>
        </w:rPr>
        <w:tab/>
        <w:t>Correspondence: luok.15b@igsnrr.ac.cn; Tel.: +86-010-6488-9101</w:t>
      </w:r>
    </w:p>
    <w:p w:rsidR="00736CEA" w:rsidRPr="00736CEA" w:rsidRDefault="00736CEA" w:rsidP="00736CEA">
      <w:pPr>
        <w:rPr>
          <w:lang w:eastAsia="de-DE" w:bidi="en-US"/>
        </w:rPr>
      </w:pPr>
      <w:bookmarkStart w:id="0" w:name="_GoBack"/>
      <w:bookmarkEnd w:id="0"/>
    </w:p>
    <w:p w:rsidR="00736CEA" w:rsidRPr="00736CEA" w:rsidRDefault="00736CEA" w:rsidP="00736CEA">
      <w:pPr>
        <w:rPr>
          <w:lang w:eastAsia="de-DE" w:bidi="en-US"/>
        </w:rPr>
      </w:pPr>
    </w:p>
    <w:p w:rsidR="008773DB" w:rsidRPr="003030D2" w:rsidRDefault="008773DB" w:rsidP="008773DB">
      <w:pPr>
        <w:pStyle w:val="MDPI14history"/>
      </w:pPr>
      <w:r w:rsidRPr="003030D2">
        <w:t>Academic Editor: name</w:t>
      </w:r>
    </w:p>
    <w:p w:rsidR="008773DB" w:rsidRPr="003030D2" w:rsidRDefault="008773DB" w:rsidP="008773DB">
      <w:pPr>
        <w:pStyle w:val="MDPI14history"/>
        <w:spacing w:before="0"/>
      </w:pPr>
      <w:r w:rsidRPr="003030D2">
        <w:t>Received: date; Accepted: date; Published: date</w:t>
      </w:r>
    </w:p>
    <w:p w:rsidR="00A4186B" w:rsidRPr="008773DB" w:rsidRDefault="00A4186B"/>
    <w:p w:rsidR="004455AE" w:rsidRDefault="004455AE"/>
    <w:p w:rsidR="004455AE" w:rsidRDefault="004455AE"/>
    <w:p w:rsidR="004455AE" w:rsidRDefault="004455AE"/>
    <w:p w:rsidR="004455AE" w:rsidRDefault="004455AE"/>
    <w:p w:rsidR="008773DB" w:rsidRDefault="008773DB">
      <w:pPr>
        <w:widowControl/>
        <w:jc w:val="left"/>
      </w:pPr>
      <w:r>
        <w:br w:type="page"/>
      </w:r>
    </w:p>
    <w:p w:rsidR="004455AE" w:rsidRPr="008773DB" w:rsidRDefault="004455AE" w:rsidP="008773DB">
      <w:pPr>
        <w:spacing w:line="360" w:lineRule="auto"/>
        <w:outlineLvl w:val="1"/>
        <w:rPr>
          <w:rFonts w:ascii="Palatino Linotype" w:eastAsia="宋体" w:hAnsi="Palatino Linotype" w:cs="Times New Roman"/>
          <w:b/>
        </w:rPr>
      </w:pPr>
      <w:r w:rsidRPr="008773DB">
        <w:rPr>
          <w:rFonts w:ascii="Palatino Linotype" w:eastAsia="宋体" w:hAnsi="Palatino Linotype" w:cs="Times New Roman"/>
          <w:b/>
        </w:rPr>
        <w:lastRenderedPageBreak/>
        <w:t>Table S1 Results of Granger causality test.</w:t>
      </w:r>
    </w:p>
    <w:tbl>
      <w:tblPr>
        <w:tblStyle w:val="a5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0"/>
        <w:gridCol w:w="1625"/>
        <w:gridCol w:w="1782"/>
        <w:gridCol w:w="1779"/>
      </w:tblGrid>
      <w:tr w:rsidR="004455AE" w:rsidRPr="0020595E" w:rsidTr="00E10C64">
        <w:trPr>
          <w:trHeight w:val="270"/>
        </w:trPr>
        <w:tc>
          <w:tcPr>
            <w:tcW w:w="1878" w:type="pct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>Null Hypothesis:</w:t>
            </w:r>
          </w:p>
        </w:tc>
        <w:tc>
          <w:tcPr>
            <w:tcW w:w="978" w:type="pct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>Obs</w:t>
            </w:r>
          </w:p>
        </w:tc>
        <w:tc>
          <w:tcPr>
            <w:tcW w:w="1073" w:type="pct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>F-Statistic</w:t>
            </w:r>
          </w:p>
        </w:tc>
        <w:tc>
          <w:tcPr>
            <w:tcW w:w="1071" w:type="pct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Prob. </w:t>
            </w:r>
          </w:p>
        </w:tc>
      </w:tr>
      <w:tr w:rsidR="004455AE" w:rsidRPr="0020595E" w:rsidTr="00E10C64">
        <w:trPr>
          <w:trHeight w:val="270"/>
        </w:trPr>
        <w:tc>
          <w:tcPr>
            <w:tcW w:w="1878" w:type="pct"/>
            <w:tcBorders>
              <w:top w:val="single" w:sz="4" w:space="0" w:color="auto"/>
            </w:tcBorders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 FI does not Granger Cause Y</w:t>
            </w:r>
          </w:p>
        </w:tc>
        <w:tc>
          <w:tcPr>
            <w:tcW w:w="978" w:type="pct"/>
            <w:tcBorders>
              <w:top w:val="single" w:sz="4" w:space="0" w:color="auto"/>
            </w:tcBorders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>
              <w:t>15</w:t>
            </w:r>
          </w:p>
        </w:tc>
        <w:tc>
          <w:tcPr>
            <w:tcW w:w="1073" w:type="pct"/>
            <w:tcBorders>
              <w:top w:val="single" w:sz="4" w:space="0" w:color="auto"/>
            </w:tcBorders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1.4621 </w:t>
            </w:r>
          </w:p>
        </w:tc>
        <w:tc>
          <w:tcPr>
            <w:tcW w:w="1071" w:type="pct"/>
            <w:tcBorders>
              <w:top w:val="single" w:sz="4" w:space="0" w:color="auto"/>
            </w:tcBorders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0.2519 </w:t>
            </w:r>
          </w:p>
        </w:tc>
      </w:tr>
      <w:tr w:rsidR="004455AE" w:rsidRPr="0020595E" w:rsidTr="00E10C64">
        <w:trPr>
          <w:trHeight w:val="270"/>
        </w:trPr>
        <w:tc>
          <w:tcPr>
            <w:tcW w:w="1878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 Y does not Granger Cause FI</w:t>
            </w:r>
          </w:p>
        </w:tc>
        <w:tc>
          <w:tcPr>
            <w:tcW w:w="978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>
              <w:t>15</w:t>
            </w:r>
          </w:p>
        </w:tc>
        <w:tc>
          <w:tcPr>
            <w:tcW w:w="1073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0.8844 </w:t>
            </w:r>
          </w:p>
        </w:tc>
        <w:tc>
          <w:tcPr>
            <w:tcW w:w="1071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0.3672 </w:t>
            </w:r>
          </w:p>
        </w:tc>
      </w:tr>
      <w:tr w:rsidR="004455AE" w:rsidRPr="0020595E" w:rsidTr="00E10C64">
        <w:trPr>
          <w:trHeight w:val="270"/>
        </w:trPr>
        <w:tc>
          <w:tcPr>
            <w:tcW w:w="1878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 FE does not Granger Cause Y</w:t>
            </w:r>
          </w:p>
        </w:tc>
        <w:tc>
          <w:tcPr>
            <w:tcW w:w="978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>
              <w:rPr>
                <w:rFonts w:hint="eastAsia"/>
              </w:rPr>
              <w:t>15</w:t>
            </w:r>
          </w:p>
        </w:tc>
        <w:tc>
          <w:tcPr>
            <w:tcW w:w="1073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0.6999 </w:t>
            </w:r>
          </w:p>
        </w:tc>
        <w:tc>
          <w:tcPr>
            <w:tcW w:w="1071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0.4206 </w:t>
            </w:r>
          </w:p>
        </w:tc>
      </w:tr>
      <w:tr w:rsidR="004455AE" w:rsidRPr="0020595E" w:rsidTr="00E10C64">
        <w:trPr>
          <w:trHeight w:val="270"/>
        </w:trPr>
        <w:tc>
          <w:tcPr>
            <w:tcW w:w="1878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 Y does not Granger Cause FE</w:t>
            </w:r>
          </w:p>
        </w:tc>
        <w:tc>
          <w:tcPr>
            <w:tcW w:w="978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>
              <w:t>15</w:t>
            </w:r>
          </w:p>
        </w:tc>
        <w:tc>
          <w:tcPr>
            <w:tcW w:w="1073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0.2276 </w:t>
            </w:r>
          </w:p>
        </w:tc>
        <w:tc>
          <w:tcPr>
            <w:tcW w:w="1071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0.6427 </w:t>
            </w:r>
          </w:p>
        </w:tc>
      </w:tr>
      <w:tr w:rsidR="004455AE" w:rsidRPr="0020595E" w:rsidTr="00E10C64">
        <w:trPr>
          <w:trHeight w:val="270"/>
        </w:trPr>
        <w:tc>
          <w:tcPr>
            <w:tcW w:w="1878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 FE does not Granger Cause FI</w:t>
            </w:r>
          </w:p>
        </w:tc>
        <w:tc>
          <w:tcPr>
            <w:tcW w:w="978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>
              <w:t>15</w:t>
            </w:r>
          </w:p>
        </w:tc>
        <w:tc>
          <w:tcPr>
            <w:tcW w:w="1073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0.0641 </w:t>
            </w:r>
          </w:p>
        </w:tc>
        <w:tc>
          <w:tcPr>
            <w:tcW w:w="1071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0.8047 </w:t>
            </w:r>
          </w:p>
        </w:tc>
      </w:tr>
      <w:tr w:rsidR="004455AE" w:rsidRPr="0020595E" w:rsidTr="00E10C64">
        <w:trPr>
          <w:trHeight w:val="270"/>
        </w:trPr>
        <w:tc>
          <w:tcPr>
            <w:tcW w:w="1878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 FI does not Granger Cause FE</w:t>
            </w:r>
          </w:p>
        </w:tc>
        <w:tc>
          <w:tcPr>
            <w:tcW w:w="978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>
              <w:t>15</w:t>
            </w:r>
          </w:p>
        </w:tc>
        <w:tc>
          <w:tcPr>
            <w:tcW w:w="1073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3.8896 </w:t>
            </w:r>
          </w:p>
        </w:tc>
        <w:tc>
          <w:tcPr>
            <w:tcW w:w="1071" w:type="pct"/>
            <w:noWrap/>
            <w:hideMark/>
          </w:tcPr>
          <w:p w:rsidR="004455AE" w:rsidRPr="0020595E" w:rsidRDefault="004455AE" w:rsidP="00E10C64">
            <w:pPr>
              <w:pStyle w:val="MDPI31text"/>
              <w:ind w:firstLine="0"/>
            </w:pPr>
            <w:r w:rsidRPr="0020595E">
              <w:rPr>
                <w:rFonts w:hint="eastAsia"/>
              </w:rPr>
              <w:t xml:space="preserve">0.0743 </w:t>
            </w:r>
          </w:p>
        </w:tc>
      </w:tr>
    </w:tbl>
    <w:p w:rsidR="004455AE" w:rsidRPr="00FE1B43" w:rsidRDefault="004455AE" w:rsidP="004455AE">
      <w:pPr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</w:pPr>
      <w:r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  <w:t xml:space="preserve">Note: Y represents </w:t>
      </w:r>
      <w:r w:rsidRPr="00FE1B43"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  <w:t>collaborative development performance</w:t>
      </w:r>
      <w:r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  <w:t>,</w:t>
      </w:r>
      <w:r w:rsidRPr="00FE1B43"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  <w:t xml:space="preserve"> </w:t>
      </w:r>
      <w:r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  <w:t xml:space="preserve">FI represents </w:t>
      </w:r>
      <w:r w:rsidRPr="00FE1B43"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  <w:t>per capita fixed asset investment</w:t>
      </w:r>
      <w:r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  <w:t xml:space="preserve"> and FE represents </w:t>
      </w:r>
      <w:r w:rsidRPr="00FE1B43"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  <w:t>per capita fiscal expenditure</w:t>
      </w:r>
      <w:r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  <w:t xml:space="preserve">, </w:t>
      </w:r>
      <w:r w:rsidRPr="00FE1B43">
        <w:rPr>
          <w:rFonts w:ascii="Palatino Linotype" w:eastAsia="Times New Roman" w:hAnsi="Palatino Linotype" w:cs="Times New Roman"/>
          <w:snapToGrid w:val="0"/>
          <w:color w:val="000000"/>
          <w:kern w:val="0"/>
          <w:sz w:val="20"/>
          <w:lang w:eastAsia="de-DE" w:bidi="en-US"/>
        </w:rPr>
        <w:t>respectively.</w:t>
      </w:r>
    </w:p>
    <w:p w:rsidR="0053784D" w:rsidRDefault="0053784D" w:rsidP="0053784D">
      <w:pPr>
        <w:pStyle w:val="MDPI31text"/>
        <w:ind w:firstLine="0"/>
      </w:pPr>
      <w:r w:rsidRPr="00E90654">
        <w:t xml:space="preserve">(Source: </w:t>
      </w:r>
      <w:r>
        <w:t>Eviews</w:t>
      </w:r>
      <w:r w:rsidRPr="003B44E2">
        <w:t xml:space="preserve"> software</w:t>
      </w:r>
      <w:r w:rsidRPr="00E90654">
        <w:t>, author’s elaboration)</w:t>
      </w:r>
    </w:p>
    <w:p w:rsidR="00893061" w:rsidRPr="0053784D" w:rsidRDefault="00893061"/>
    <w:p w:rsidR="004455AE" w:rsidRPr="008773DB" w:rsidRDefault="004455AE"/>
    <w:p w:rsidR="004455AE" w:rsidRDefault="004455AE"/>
    <w:p w:rsidR="004455AE" w:rsidRDefault="004455AE"/>
    <w:p w:rsidR="004455AE" w:rsidRDefault="004455AE"/>
    <w:p w:rsidR="00893061" w:rsidRPr="00893061" w:rsidRDefault="00893061"/>
    <w:sectPr w:rsidR="00893061" w:rsidRPr="008930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24A" w:rsidRDefault="000D224A" w:rsidP="00893061">
      <w:r>
        <w:separator/>
      </w:r>
    </w:p>
  </w:endnote>
  <w:endnote w:type="continuationSeparator" w:id="0">
    <w:p w:rsidR="000D224A" w:rsidRDefault="000D224A" w:rsidP="00893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24A" w:rsidRDefault="000D224A" w:rsidP="00893061">
      <w:r>
        <w:separator/>
      </w:r>
    </w:p>
  </w:footnote>
  <w:footnote w:type="continuationSeparator" w:id="0">
    <w:p w:rsidR="000D224A" w:rsidRDefault="000D224A" w:rsidP="008930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45D"/>
    <w:rsid w:val="000D224A"/>
    <w:rsid w:val="001F5D74"/>
    <w:rsid w:val="002D545D"/>
    <w:rsid w:val="004455AE"/>
    <w:rsid w:val="00445C5B"/>
    <w:rsid w:val="0053784D"/>
    <w:rsid w:val="0071075C"/>
    <w:rsid w:val="00736CEA"/>
    <w:rsid w:val="008773DB"/>
    <w:rsid w:val="00893061"/>
    <w:rsid w:val="008E08C4"/>
    <w:rsid w:val="00A4186B"/>
    <w:rsid w:val="00BF32AF"/>
    <w:rsid w:val="00C14705"/>
    <w:rsid w:val="00FC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A50DA37-6A1A-4C25-AD91-4534C9C3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DPI31text">
    <w:name w:val="MDPI_3.1_text"/>
    <w:link w:val="MDPI31textChar"/>
    <w:qFormat/>
    <w:rsid w:val="002D545D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20"/>
      <w:lang w:eastAsia="de-DE" w:bidi="en-US"/>
    </w:rPr>
  </w:style>
  <w:style w:type="paragraph" w:customStyle="1" w:styleId="MDPI22heading2">
    <w:name w:val="MDPI_2.2_heading2"/>
    <w:basedOn w:val="a"/>
    <w:qFormat/>
    <w:rsid w:val="002D545D"/>
    <w:pPr>
      <w:widowControl/>
      <w:kinsoku w:val="0"/>
      <w:overflowPunct w:val="0"/>
      <w:autoSpaceDE w:val="0"/>
      <w:autoSpaceDN w:val="0"/>
      <w:adjustRightInd w:val="0"/>
      <w:snapToGrid w:val="0"/>
      <w:spacing w:before="240" w:after="120" w:line="260" w:lineRule="atLeast"/>
      <w:jc w:val="left"/>
      <w:outlineLvl w:val="1"/>
    </w:pPr>
    <w:rPr>
      <w:rFonts w:ascii="Palatino Linotype" w:eastAsia="Times New Roman" w:hAnsi="Palatino Linotype" w:cs="Times New Roman"/>
      <w:i/>
      <w:noProof/>
      <w:snapToGrid w:val="0"/>
      <w:color w:val="000000"/>
      <w:kern w:val="0"/>
      <w:sz w:val="20"/>
      <w:lang w:eastAsia="de-DE" w:bidi="en-US"/>
    </w:rPr>
  </w:style>
  <w:style w:type="character" w:customStyle="1" w:styleId="MDPI31textChar">
    <w:name w:val="MDPI_3.1_text Char"/>
    <w:basedOn w:val="a0"/>
    <w:link w:val="MDPI31text"/>
    <w:rsid w:val="002D545D"/>
    <w:rPr>
      <w:rFonts w:ascii="Palatino Linotype" w:eastAsia="Times New Roman" w:hAnsi="Palatino Linotype" w:cs="Times New Roman"/>
      <w:snapToGrid w:val="0"/>
      <w:color w:val="000000"/>
      <w:kern w:val="0"/>
      <w:sz w:val="20"/>
      <w:lang w:eastAsia="de-DE" w:bidi="en-US"/>
    </w:rPr>
  </w:style>
  <w:style w:type="paragraph" w:styleId="a3">
    <w:name w:val="header"/>
    <w:basedOn w:val="a"/>
    <w:link w:val="Char"/>
    <w:uiPriority w:val="99"/>
    <w:unhideWhenUsed/>
    <w:rsid w:val="008930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9306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930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93061"/>
    <w:rPr>
      <w:sz w:val="18"/>
      <w:szCs w:val="18"/>
    </w:rPr>
  </w:style>
  <w:style w:type="paragraph" w:customStyle="1" w:styleId="MDPI41tablecaption">
    <w:name w:val="MDPI_4.1_table_caption"/>
    <w:basedOn w:val="a"/>
    <w:qFormat/>
    <w:rsid w:val="00893061"/>
    <w:pPr>
      <w:widowControl/>
      <w:adjustRightInd w:val="0"/>
      <w:snapToGrid w:val="0"/>
      <w:spacing w:before="240" w:after="120" w:line="260" w:lineRule="atLeast"/>
      <w:ind w:left="425" w:right="425"/>
    </w:pPr>
    <w:rPr>
      <w:rFonts w:ascii="Palatino Linotype" w:eastAsia="Times New Roman" w:hAnsi="Palatino Linotype"/>
      <w:color w:val="000000"/>
      <w:kern w:val="0"/>
      <w:sz w:val="18"/>
      <w:lang w:eastAsia="de-DE" w:bidi="en-US"/>
    </w:rPr>
  </w:style>
  <w:style w:type="table" w:styleId="a5">
    <w:name w:val="Table Grid"/>
    <w:basedOn w:val="a1"/>
    <w:uiPriority w:val="39"/>
    <w:rsid w:val="008930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DPI12title">
    <w:name w:val="MDPI_1.2_title"/>
    <w:next w:val="MDPI13authornames"/>
    <w:qFormat/>
    <w:rsid w:val="008773DB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szCs w:val="20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8773DB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a"/>
    <w:next w:val="a"/>
    <w:qFormat/>
    <w:rsid w:val="008773DB"/>
    <w:pPr>
      <w:widowControl/>
      <w:adjustRightInd w:val="0"/>
      <w:snapToGrid w:val="0"/>
      <w:spacing w:before="120" w:line="200" w:lineRule="atLeast"/>
      <w:ind w:left="113"/>
      <w:jc w:val="left"/>
    </w:pPr>
    <w:rPr>
      <w:rFonts w:ascii="Palatino Linotype" w:eastAsia="Times New Roman" w:hAnsi="Palatino Linotype" w:cs="Times New Roman"/>
      <w:color w:val="000000"/>
      <w:kern w:val="0"/>
      <w:sz w:val="18"/>
      <w:szCs w:val="20"/>
      <w:lang w:eastAsia="de-DE" w:bidi="en-US"/>
    </w:rPr>
  </w:style>
  <w:style w:type="paragraph" w:customStyle="1" w:styleId="MDPI16affiliation">
    <w:name w:val="MDPI_1.6_affiliation"/>
    <w:basedOn w:val="a"/>
    <w:qFormat/>
    <w:rsid w:val="008773DB"/>
    <w:pPr>
      <w:widowControl/>
      <w:adjustRightInd w:val="0"/>
      <w:snapToGrid w:val="0"/>
      <w:spacing w:line="200" w:lineRule="atLeast"/>
      <w:ind w:left="311" w:hanging="198"/>
      <w:jc w:val="left"/>
    </w:pPr>
    <w:rPr>
      <w:rFonts w:ascii="Palatino Linotype" w:eastAsia="Times New Roman" w:hAnsi="Palatino Linotype" w:cs="Times New Roman"/>
      <w:color w:val="000000"/>
      <w:kern w:val="0"/>
      <w:sz w:val="18"/>
      <w:szCs w:val="18"/>
      <w:lang w:eastAsia="de-DE" w:bidi="en-US"/>
    </w:rPr>
  </w:style>
  <w:style w:type="character" w:styleId="a6">
    <w:name w:val="Hyperlink"/>
    <w:uiPriority w:val="99"/>
    <w:rsid w:val="008773DB"/>
    <w:rPr>
      <w:color w:val="0000FF"/>
      <w:u w:val="single"/>
    </w:rPr>
  </w:style>
  <w:style w:type="paragraph" w:customStyle="1" w:styleId="Mdeck2authorcorrespondence">
    <w:name w:val="M_deck_2_author_correspondence"/>
    <w:qFormat/>
    <w:rsid w:val="00736CEA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20"/>
      <w:szCs w:val="20"/>
      <w:lang w:eastAsia="de-DE" w:bidi="en-US"/>
    </w:rPr>
  </w:style>
  <w:style w:type="paragraph" w:styleId="a7">
    <w:name w:val="annotation text"/>
    <w:basedOn w:val="a"/>
    <w:link w:val="Char1"/>
    <w:rsid w:val="00736CEA"/>
    <w:pPr>
      <w:widowControl/>
      <w:spacing w:line="340" w:lineRule="atLeast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de-DE"/>
    </w:rPr>
  </w:style>
  <w:style w:type="character" w:customStyle="1" w:styleId="Char1">
    <w:name w:val="批注文字 Char"/>
    <w:basedOn w:val="a0"/>
    <w:link w:val="a7"/>
    <w:rsid w:val="00736CEA"/>
    <w:rPr>
      <w:rFonts w:ascii="Times New Roman" w:eastAsia="Times New Roman" w:hAnsi="Times New Roman" w:cs="Times New Roman"/>
      <w:color w:val="000000"/>
      <w:kern w:val="0"/>
      <w:sz w:val="24"/>
      <w:szCs w:val="20"/>
      <w:lang w:eastAsia="de-DE"/>
    </w:rPr>
  </w:style>
  <w:style w:type="character" w:styleId="a8">
    <w:name w:val="annotation reference"/>
    <w:basedOn w:val="a0"/>
    <w:rsid w:val="00736CEA"/>
    <w:rPr>
      <w:sz w:val="21"/>
      <w:szCs w:val="21"/>
    </w:rPr>
  </w:style>
  <w:style w:type="paragraph" w:styleId="a9">
    <w:name w:val="Balloon Text"/>
    <w:basedOn w:val="a"/>
    <w:link w:val="Char2"/>
    <w:uiPriority w:val="99"/>
    <w:semiHidden/>
    <w:unhideWhenUsed/>
    <w:rsid w:val="00736CEA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736CE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</dc:creator>
  <cp:keywords/>
  <dc:description/>
  <cp:lastModifiedBy>lenovo</cp:lastModifiedBy>
  <cp:revision>7</cp:revision>
  <dcterms:created xsi:type="dcterms:W3CDTF">2018-02-01T03:04:00Z</dcterms:created>
  <dcterms:modified xsi:type="dcterms:W3CDTF">2018-02-09T05:09:00Z</dcterms:modified>
</cp:coreProperties>
</file>